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6"/>
        <w:gridCol w:w="3420"/>
      </w:tblGrid>
      <w:tr>
        <w:trPr>
          <w:trHeight w:val="1333" w:hRule="atLeast"/>
        </w:trPr>
        <w:tc>
          <w:tcPr>
            <w:tcW w:w="5956" w:type="dxa"/>
          </w:tcPr>
          <w:p>
            <w:pPr>
              <w:pStyle w:val="TableParagraph"/>
              <w:spacing w:line="315" w:lineRule="exact"/>
              <w:ind w:left="107"/>
              <w:rPr>
                <w:sz w:val="28"/>
              </w:rPr>
            </w:pPr>
            <w:r>
              <w:rPr>
                <w:sz w:val="28"/>
              </w:rPr>
              <w:t>DISTRICT COURT</w:t>
            </w:r>
          </w:p>
          <w:p>
            <w:pPr>
              <w:pStyle w:val="TableParagraph"/>
              <w:spacing w:line="330" w:lineRule="atLeast" w:before="3"/>
              <w:ind w:left="107" w:right="1178"/>
              <w:rPr>
                <w:sz w:val="28"/>
              </w:rPr>
            </w:pPr>
            <w:r>
              <w:rPr>
                <w:sz w:val="28"/>
              </w:rPr>
              <w:t>JEFFERSON COUNTY, COLORADO 100 JEFFERSON COUNTY PARKWAY GOLDEN, COLORADO 80401</w:t>
            </w:r>
          </w:p>
        </w:tc>
        <w:tc>
          <w:tcPr>
            <w:tcW w:w="3420" w:type="dxa"/>
            <w:vMerge w:val="restart"/>
          </w:tcPr>
          <w:p>
            <w:pPr>
              <w:pStyle w:val="TableParagraph"/>
              <w:rPr>
                <w:rFonts w:ascii="Times New Roman"/>
                <w:sz w:val="22"/>
              </w:rPr>
            </w:pPr>
          </w:p>
          <w:p>
            <w:pPr>
              <w:pStyle w:val="TableParagraph"/>
              <w:rPr>
                <w:rFonts w:ascii="Times New Roman"/>
                <w:sz w:val="22"/>
              </w:rPr>
            </w:pPr>
          </w:p>
          <w:p>
            <w:pPr>
              <w:pStyle w:val="TableParagraph"/>
              <w:spacing w:line="225" w:lineRule="auto" w:before="132"/>
              <w:ind w:left="10"/>
              <w:rPr>
                <w:rFonts w:ascii="Times New Roman"/>
                <w:sz w:val="20"/>
              </w:rPr>
            </w:pPr>
            <w:r>
              <w:rPr>
                <w:rFonts w:ascii="Times New Roman"/>
                <w:color w:val="0000FF"/>
                <w:sz w:val="20"/>
              </w:rPr>
              <w:t>DATE FILED: July 27, 2017 11:27 </w:t>
            </w:r>
            <w:r>
              <w:rPr>
                <w:rFonts w:ascii="Times New Roman"/>
                <w:color w:val="0000FF"/>
                <w:spacing w:val="-8"/>
                <w:sz w:val="20"/>
              </w:rPr>
              <w:t>AM </w:t>
            </w:r>
            <w:r>
              <w:rPr>
                <w:rFonts w:ascii="Times New Roman"/>
                <w:color w:val="0000FF"/>
                <w:sz w:val="20"/>
              </w:rPr>
              <w:t>FILING ID:</w:t>
            </w:r>
            <w:r>
              <w:rPr>
                <w:rFonts w:ascii="Times New Roman"/>
                <w:color w:val="0000FF"/>
                <w:spacing w:val="12"/>
                <w:sz w:val="20"/>
              </w:rPr>
              <w:t> </w:t>
            </w:r>
            <w:r>
              <w:rPr>
                <w:rFonts w:ascii="Times New Roman"/>
                <w:color w:val="0000FF"/>
                <w:sz w:val="20"/>
              </w:rPr>
              <w:t>B66D91699A5C1</w:t>
            </w:r>
          </w:p>
          <w:p>
            <w:pPr>
              <w:pStyle w:val="TableParagraph"/>
              <w:spacing w:line="218" w:lineRule="exact"/>
              <w:ind w:left="10"/>
              <w:rPr>
                <w:rFonts w:ascii="Times New Roman"/>
                <w:sz w:val="20"/>
              </w:rPr>
            </w:pPr>
            <w:r>
              <w:rPr>
                <w:rFonts w:ascii="Times New Roman"/>
                <w:color w:val="0000FF"/>
                <w:sz w:val="20"/>
              </w:rPr>
              <w:t>CASE NUMBER: 2016CR1463</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30"/>
              </w:rPr>
            </w:pPr>
          </w:p>
          <w:p>
            <w:pPr>
              <w:pStyle w:val="TableParagraph"/>
              <w:numPr>
                <w:ilvl w:val="0"/>
                <w:numId w:val="1"/>
              </w:numPr>
              <w:tabs>
                <w:tab w:pos="520" w:val="left" w:leader="none"/>
              </w:tabs>
              <w:spacing w:line="240" w:lineRule="auto" w:before="0" w:after="0"/>
              <w:ind w:left="519" w:right="0" w:hanging="197"/>
              <w:jc w:val="left"/>
              <w:rPr>
                <w:rFonts w:ascii="Wingdings" w:hAnsi="Wingdings"/>
                <w:sz w:val="28"/>
              </w:rPr>
            </w:pPr>
            <w:r>
              <w:rPr>
                <w:sz w:val="28"/>
              </w:rPr>
              <w:t>COURT USE ONLY</w:t>
            </w:r>
            <w:r>
              <w:rPr>
                <w:spacing w:val="-6"/>
                <w:sz w:val="28"/>
              </w:rPr>
              <w:t> </w:t>
            </w:r>
            <w:r>
              <w:rPr>
                <w:rFonts w:ascii="Wingdings" w:hAnsi="Wingdings"/>
                <w:sz w:val="28"/>
              </w:rPr>
              <w:t></w:t>
            </w:r>
          </w:p>
        </w:tc>
      </w:tr>
      <w:tr>
        <w:trPr>
          <w:trHeight w:val="2999" w:hRule="atLeast"/>
        </w:trPr>
        <w:tc>
          <w:tcPr>
            <w:tcW w:w="5956" w:type="dxa"/>
          </w:tcPr>
          <w:p>
            <w:pPr>
              <w:pStyle w:val="TableParagraph"/>
              <w:spacing w:line="254" w:lineRule="auto"/>
              <w:ind w:left="107" w:right="1364"/>
              <w:rPr>
                <w:b/>
                <w:sz w:val="28"/>
              </w:rPr>
            </w:pPr>
            <w:r>
              <w:rPr>
                <w:b/>
                <w:sz w:val="28"/>
              </w:rPr>
              <w:t>THE PEOPLE OF THE STATE OF COLORADO</w:t>
            </w:r>
          </w:p>
          <w:p>
            <w:pPr>
              <w:pStyle w:val="TableParagraph"/>
              <w:spacing w:line="506" w:lineRule="auto"/>
              <w:ind w:left="107" w:right="4782"/>
              <w:rPr>
                <w:sz w:val="28"/>
              </w:rPr>
            </w:pPr>
            <w:r>
              <w:rPr>
                <w:w w:val="95"/>
                <w:sz w:val="28"/>
              </w:rPr>
              <w:t>Plaintiff, </w:t>
            </w:r>
            <w:r>
              <w:rPr>
                <w:sz w:val="28"/>
              </w:rPr>
              <w:t>v.</w:t>
            </w:r>
          </w:p>
          <w:p>
            <w:pPr>
              <w:pStyle w:val="TableParagraph"/>
              <w:spacing w:before="3"/>
              <w:ind w:left="107"/>
              <w:rPr>
                <w:sz w:val="28"/>
              </w:rPr>
            </w:pPr>
            <w:r>
              <w:rPr>
                <w:b/>
                <w:sz w:val="28"/>
              </w:rPr>
              <w:t>GARY NICKAL</w:t>
            </w:r>
            <w:r>
              <w:rPr>
                <w:sz w:val="28"/>
              </w:rPr>
              <w:t>,</w:t>
            </w:r>
          </w:p>
          <w:p>
            <w:pPr>
              <w:pStyle w:val="TableParagraph"/>
              <w:spacing w:before="18"/>
              <w:ind w:left="107"/>
              <w:rPr>
                <w:sz w:val="28"/>
              </w:rPr>
            </w:pPr>
            <w:r>
              <w:rPr>
                <w:sz w:val="28"/>
              </w:rPr>
              <w:t>Accused.</w:t>
            </w:r>
          </w:p>
        </w:tc>
        <w:tc>
          <w:tcPr>
            <w:tcW w:w="3420" w:type="dxa"/>
            <w:vMerge/>
            <w:tcBorders>
              <w:top w:val="nil"/>
            </w:tcBorders>
          </w:tcPr>
          <w:p>
            <w:pPr>
              <w:rPr>
                <w:sz w:val="2"/>
                <w:szCs w:val="2"/>
              </w:rPr>
            </w:pPr>
          </w:p>
        </w:tc>
      </w:tr>
      <w:tr>
        <w:trPr>
          <w:trHeight w:val="5417" w:hRule="atLeast"/>
        </w:trPr>
        <w:tc>
          <w:tcPr>
            <w:tcW w:w="5956" w:type="dxa"/>
          </w:tcPr>
          <w:p>
            <w:pPr>
              <w:pStyle w:val="TableParagraph"/>
              <w:spacing w:before="1"/>
              <w:ind w:left="107"/>
              <w:rPr>
                <w:sz w:val="28"/>
              </w:rPr>
            </w:pPr>
            <w:r>
              <w:rPr>
                <w:sz w:val="28"/>
              </w:rPr>
              <w:t>M</w:t>
            </w:r>
            <w:r>
              <w:rPr>
                <w:sz w:val="22"/>
              </w:rPr>
              <w:t>ULLIGAN </w:t>
            </w:r>
            <w:r>
              <w:rPr>
                <w:sz w:val="28"/>
              </w:rPr>
              <w:t>B</w:t>
            </w:r>
            <w:r>
              <w:rPr>
                <w:sz w:val="22"/>
              </w:rPr>
              <w:t>RIET</w:t>
            </w:r>
            <w:r>
              <w:rPr>
                <w:sz w:val="28"/>
              </w:rPr>
              <w:t>, LLC</w:t>
            </w:r>
          </w:p>
          <w:p>
            <w:pPr>
              <w:pStyle w:val="TableParagraph"/>
              <w:spacing w:before="17"/>
              <w:ind w:left="107"/>
              <w:rPr>
                <w:sz w:val="28"/>
              </w:rPr>
            </w:pPr>
            <w:r>
              <w:rPr>
                <w:sz w:val="28"/>
              </w:rPr>
              <w:t>Patrick Mulligan, #16981</w:t>
            </w:r>
          </w:p>
          <w:p>
            <w:pPr>
              <w:pStyle w:val="TableParagraph"/>
              <w:spacing w:before="19"/>
              <w:ind w:left="107"/>
              <w:rPr>
                <w:sz w:val="28"/>
              </w:rPr>
            </w:pPr>
            <w:r>
              <w:rPr>
                <w:sz w:val="28"/>
              </w:rPr>
              <w:t>1801 Broadway, Suite 1203</w:t>
            </w:r>
          </w:p>
          <w:p>
            <w:pPr>
              <w:pStyle w:val="TableParagraph"/>
              <w:spacing w:before="18"/>
              <w:ind w:left="107"/>
              <w:rPr>
                <w:sz w:val="28"/>
              </w:rPr>
            </w:pPr>
            <w:r>
              <w:rPr>
                <w:sz w:val="28"/>
              </w:rPr>
              <w:t>Denver, CO 80202</w:t>
            </w:r>
          </w:p>
          <w:p>
            <w:pPr>
              <w:pStyle w:val="TableParagraph"/>
              <w:spacing w:line="254" w:lineRule="auto" w:before="19"/>
              <w:ind w:left="107" w:right="3395" w:hanging="1"/>
              <w:rPr>
                <w:sz w:val="28"/>
              </w:rPr>
            </w:pPr>
            <w:r>
              <w:rPr>
                <w:sz w:val="28"/>
              </w:rPr>
              <w:t>P</w:t>
            </w:r>
            <w:r>
              <w:rPr>
                <w:sz w:val="22"/>
              </w:rPr>
              <w:t>H</w:t>
            </w:r>
            <w:r>
              <w:rPr>
                <w:sz w:val="28"/>
              </w:rPr>
              <w:t>. 303-295-1500 F</w:t>
            </w:r>
            <w:r>
              <w:rPr>
                <w:sz w:val="22"/>
              </w:rPr>
              <w:t>AX</w:t>
            </w:r>
            <w:r>
              <w:rPr>
                <w:sz w:val="28"/>
              </w:rPr>
              <w:t>:</w:t>
            </w:r>
          </w:p>
          <w:p>
            <w:pPr>
              <w:pStyle w:val="TableParagraph"/>
              <w:spacing w:line="313" w:lineRule="exact"/>
              <w:ind w:left="107"/>
              <w:rPr>
                <w:sz w:val="28"/>
              </w:rPr>
            </w:pPr>
            <w:r>
              <w:rPr>
                <w:sz w:val="28"/>
              </w:rPr>
              <w:t>E</w:t>
            </w:r>
            <w:r>
              <w:rPr>
                <w:sz w:val="22"/>
              </w:rPr>
              <w:t>MAIL</w:t>
            </w:r>
            <w:r>
              <w:rPr>
                <w:sz w:val="28"/>
              </w:rPr>
              <w:t>: </w:t>
            </w:r>
            <w:hyperlink r:id="rId5">
              <w:r>
                <w:rPr>
                  <w:color w:val="0563C1"/>
                  <w:sz w:val="28"/>
                  <w:u w:val="single" w:color="0563C1"/>
                </w:rPr>
                <w:t>Patrick@MulliganBriet.com</w:t>
              </w:r>
            </w:hyperlink>
          </w:p>
          <w:p>
            <w:pPr>
              <w:pStyle w:val="TableParagraph"/>
              <w:spacing w:before="5"/>
              <w:rPr>
                <w:rFonts w:ascii="Times New Roman"/>
                <w:sz w:val="38"/>
              </w:rPr>
            </w:pPr>
          </w:p>
          <w:p>
            <w:pPr>
              <w:pStyle w:val="TableParagraph"/>
              <w:ind w:left="107" w:right="1362"/>
              <w:rPr>
                <w:sz w:val="28"/>
              </w:rPr>
            </w:pPr>
            <w:r>
              <w:rPr>
                <w:sz w:val="28"/>
              </w:rPr>
              <w:t>THE LAW OFFICE OF JENNIFER E. LONGTIN, LLC</w:t>
            </w:r>
          </w:p>
          <w:p>
            <w:pPr>
              <w:pStyle w:val="TableParagraph"/>
              <w:ind w:left="107" w:right="2739"/>
              <w:rPr>
                <w:sz w:val="28"/>
              </w:rPr>
            </w:pPr>
            <w:r>
              <w:rPr>
                <w:sz w:val="28"/>
              </w:rPr>
              <w:t>Jennifer E. Longtin, #43509 2401 S. Downing St.</w:t>
            </w:r>
          </w:p>
          <w:p>
            <w:pPr>
              <w:pStyle w:val="TableParagraph"/>
              <w:spacing w:line="270" w:lineRule="exact"/>
              <w:ind w:left="107"/>
              <w:rPr>
                <w:sz w:val="28"/>
              </w:rPr>
            </w:pPr>
            <w:r>
              <w:rPr>
                <w:sz w:val="28"/>
              </w:rPr>
              <w:t>Denver, CO 80201</w:t>
            </w:r>
          </w:p>
          <w:p>
            <w:pPr>
              <w:pStyle w:val="TableParagraph"/>
              <w:spacing w:line="269" w:lineRule="exact"/>
              <w:ind w:left="107"/>
              <w:rPr>
                <w:sz w:val="28"/>
              </w:rPr>
            </w:pPr>
            <w:r>
              <w:rPr>
                <w:sz w:val="28"/>
              </w:rPr>
              <w:t>Ph. 303.747.6898</w:t>
            </w:r>
          </w:p>
          <w:p>
            <w:pPr>
              <w:pStyle w:val="TableParagraph"/>
              <w:spacing w:line="269" w:lineRule="exact"/>
              <w:ind w:left="107"/>
              <w:rPr>
                <w:sz w:val="28"/>
              </w:rPr>
            </w:pPr>
            <w:r>
              <w:rPr>
                <w:sz w:val="28"/>
              </w:rPr>
              <w:t>Fax. 800.243.2691</w:t>
            </w:r>
          </w:p>
          <w:p>
            <w:pPr>
              <w:pStyle w:val="TableParagraph"/>
              <w:spacing w:line="292" w:lineRule="exact"/>
              <w:ind w:left="107"/>
              <w:rPr>
                <w:sz w:val="28"/>
              </w:rPr>
            </w:pPr>
            <w:hyperlink r:id="rId6">
              <w:r>
                <w:rPr>
                  <w:sz w:val="28"/>
                </w:rPr>
                <w:t>Jen@jlongtinlaw.com</w:t>
              </w:r>
            </w:hyperlink>
          </w:p>
        </w:tc>
        <w:tc>
          <w:tcPr>
            <w:tcW w:w="3420" w:type="dxa"/>
          </w:tcPr>
          <w:p>
            <w:pPr>
              <w:pStyle w:val="TableParagraph"/>
              <w:rPr>
                <w:rFonts w:ascii="Times New Roman"/>
                <w:sz w:val="30"/>
              </w:rPr>
            </w:pPr>
          </w:p>
          <w:p>
            <w:pPr>
              <w:pStyle w:val="TableParagraph"/>
              <w:spacing w:before="11"/>
              <w:rPr>
                <w:rFonts w:ascii="Times New Roman"/>
                <w:sz w:val="27"/>
              </w:rPr>
            </w:pPr>
          </w:p>
          <w:p>
            <w:pPr>
              <w:pStyle w:val="TableParagraph"/>
              <w:ind w:left="107"/>
              <w:rPr>
                <w:sz w:val="28"/>
              </w:rPr>
            </w:pPr>
            <w:r>
              <w:rPr>
                <w:sz w:val="28"/>
              </w:rPr>
              <w:t>Case No. 16CR001463</w:t>
            </w: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spacing w:before="225"/>
              <w:ind w:left="107"/>
              <w:rPr>
                <w:sz w:val="28"/>
              </w:rPr>
            </w:pPr>
            <w:r>
              <w:rPr>
                <w:sz w:val="28"/>
              </w:rPr>
              <w:t>Division: 12</w:t>
            </w:r>
          </w:p>
        </w:tc>
      </w:tr>
      <w:tr>
        <w:trPr>
          <w:trHeight w:val="666" w:hRule="atLeast"/>
        </w:trPr>
        <w:tc>
          <w:tcPr>
            <w:tcW w:w="9376" w:type="dxa"/>
            <w:gridSpan w:val="2"/>
          </w:tcPr>
          <w:p>
            <w:pPr>
              <w:pStyle w:val="TableParagraph"/>
              <w:spacing w:line="315" w:lineRule="exact"/>
              <w:ind w:left="215" w:right="209"/>
              <w:jc w:val="center"/>
              <w:rPr>
                <w:b/>
                <w:sz w:val="28"/>
              </w:rPr>
            </w:pPr>
            <w:r>
              <w:rPr>
                <w:b/>
                <w:sz w:val="28"/>
              </w:rPr>
              <w:t>MOTION TO RECOGNIZE CHILD WITNESSES AS INCOMPETENT</w:t>
            </w:r>
          </w:p>
          <w:p>
            <w:pPr>
              <w:pStyle w:val="TableParagraph"/>
              <w:spacing w:line="314" w:lineRule="exact" w:before="18"/>
              <w:ind w:left="215" w:right="209"/>
              <w:jc w:val="center"/>
              <w:rPr>
                <w:b/>
                <w:sz w:val="28"/>
              </w:rPr>
            </w:pPr>
            <w:r>
              <w:rPr>
                <w:b/>
                <w:sz w:val="28"/>
              </w:rPr>
              <w:t>TO TESTIFY</w:t>
            </w:r>
          </w:p>
        </w:tc>
      </w:tr>
    </w:tbl>
    <w:p>
      <w:pPr>
        <w:pStyle w:val="BodyText"/>
        <w:spacing w:line="480" w:lineRule="auto"/>
        <w:ind w:left="380" w:right="135" w:firstLine="719"/>
      </w:pPr>
      <w:r>
        <w:rPr/>
        <w:t>Gary Nickal, by and through counsel, requests that this Honorable Court issue an order recognizing Alexandrea, Kameryn, and Calvin Nickal as incompetent to serve as witnesses in a trial on this matter. In support of this motion, Mr. Nickal states the</w:t>
      </w:r>
      <w:r>
        <w:rPr>
          <w:spacing w:val="-2"/>
        </w:rPr>
        <w:t> </w:t>
      </w:r>
      <w:r>
        <w:rPr/>
        <w:t>following:</w:t>
      </w:r>
    </w:p>
    <w:p>
      <w:pPr>
        <w:spacing w:after="0" w:line="480" w:lineRule="auto"/>
        <w:sectPr>
          <w:type w:val="continuous"/>
          <w:pgSz w:w="12240" w:h="15840"/>
          <w:pgMar w:top="1440" w:bottom="280" w:left="1060" w:right="1320"/>
        </w:sectPr>
      </w:pPr>
    </w:p>
    <w:p>
      <w:pPr>
        <w:pStyle w:val="Heading1"/>
        <w:spacing w:before="80"/>
        <w:ind w:right="4340"/>
        <w:jc w:val="center"/>
      </w:pPr>
      <w:r>
        <w:rPr/>
        <w:t>FACTS</w:t>
      </w:r>
    </w:p>
    <w:p>
      <w:pPr>
        <w:pStyle w:val="ListParagraph"/>
        <w:numPr>
          <w:ilvl w:val="0"/>
          <w:numId w:val="2"/>
        </w:numPr>
        <w:tabs>
          <w:tab w:pos="1819" w:val="left" w:leader="none"/>
          <w:tab w:pos="1820" w:val="left" w:leader="none"/>
        </w:tabs>
        <w:spacing w:line="480" w:lineRule="auto" w:before="0" w:after="0"/>
        <w:ind w:left="380" w:right="292" w:firstLine="720"/>
        <w:jc w:val="left"/>
        <w:rPr>
          <w:sz w:val="28"/>
        </w:rPr>
      </w:pPr>
      <w:r>
        <w:rPr>
          <w:sz w:val="28"/>
        </w:rPr>
        <w:t>Alexandra, Kameryn, and Calvin Nickal are the children of Molly and Gary Nickal. Alexandra was eight-years old on the night of her mother’s death,</w:t>
      </w:r>
      <w:r>
        <w:rPr>
          <w:spacing w:val="-32"/>
          <w:sz w:val="28"/>
        </w:rPr>
        <w:t> </w:t>
      </w:r>
      <w:r>
        <w:rPr>
          <w:sz w:val="28"/>
        </w:rPr>
        <w:t>while Kameryn was seven, and Calvin was just three-months</w:t>
      </w:r>
      <w:r>
        <w:rPr>
          <w:spacing w:val="-8"/>
          <w:sz w:val="28"/>
        </w:rPr>
        <w:t> </w:t>
      </w:r>
      <w:r>
        <w:rPr>
          <w:sz w:val="28"/>
        </w:rPr>
        <w:t>old.</w:t>
      </w:r>
    </w:p>
    <w:p>
      <w:pPr>
        <w:pStyle w:val="ListParagraph"/>
        <w:numPr>
          <w:ilvl w:val="0"/>
          <w:numId w:val="2"/>
        </w:numPr>
        <w:tabs>
          <w:tab w:pos="1820" w:val="left" w:leader="none"/>
          <w:tab w:pos="1821" w:val="left" w:leader="none"/>
        </w:tabs>
        <w:spacing w:line="480" w:lineRule="auto" w:before="0" w:after="0"/>
        <w:ind w:left="380" w:right="377" w:firstLine="720"/>
        <w:jc w:val="left"/>
        <w:rPr>
          <w:sz w:val="28"/>
        </w:rPr>
      </w:pPr>
      <w:r>
        <w:rPr>
          <w:sz w:val="28"/>
        </w:rPr>
        <w:t>As of July 21, 2017, Alexandra is nine-years old, Kameryn in eight,</w:t>
      </w:r>
      <w:r>
        <w:rPr>
          <w:spacing w:val="-32"/>
          <w:sz w:val="28"/>
        </w:rPr>
        <w:t> </w:t>
      </w:r>
      <w:r>
        <w:rPr>
          <w:sz w:val="28"/>
        </w:rPr>
        <w:t>and Calvin is one and one-half-years</w:t>
      </w:r>
      <w:r>
        <w:rPr>
          <w:spacing w:val="-2"/>
          <w:sz w:val="28"/>
        </w:rPr>
        <w:t> </w:t>
      </w:r>
      <w:r>
        <w:rPr>
          <w:sz w:val="28"/>
        </w:rPr>
        <w:t>old.</w:t>
      </w:r>
    </w:p>
    <w:p>
      <w:pPr>
        <w:pStyle w:val="ListParagraph"/>
        <w:numPr>
          <w:ilvl w:val="0"/>
          <w:numId w:val="2"/>
        </w:numPr>
        <w:tabs>
          <w:tab w:pos="1819" w:val="left" w:leader="none"/>
          <w:tab w:pos="1820" w:val="left" w:leader="none"/>
        </w:tabs>
        <w:spacing w:line="240" w:lineRule="auto" w:before="0" w:after="0"/>
        <w:ind w:left="1819" w:right="0" w:hanging="719"/>
        <w:jc w:val="left"/>
        <w:rPr>
          <w:sz w:val="28"/>
        </w:rPr>
      </w:pPr>
      <w:r>
        <w:rPr>
          <w:sz w:val="28"/>
        </w:rPr>
        <w:t>All three children were in the home when Mrs. Nickal passed</w:t>
      </w:r>
      <w:r>
        <w:rPr>
          <w:spacing w:val="-15"/>
          <w:sz w:val="28"/>
        </w:rPr>
        <w:t> </w:t>
      </w:r>
      <w:r>
        <w:rPr>
          <w:sz w:val="28"/>
        </w:rPr>
        <w:t>away.</w:t>
      </w:r>
    </w:p>
    <w:p>
      <w:pPr>
        <w:pStyle w:val="BodyText"/>
      </w:pPr>
    </w:p>
    <w:p>
      <w:pPr>
        <w:pStyle w:val="Heading1"/>
        <w:ind w:right="4339"/>
        <w:jc w:val="center"/>
      </w:pPr>
      <w:r>
        <w:rPr/>
        <w:t>LAW</w:t>
      </w:r>
    </w:p>
    <w:p>
      <w:pPr>
        <w:pStyle w:val="BodyText"/>
        <w:rPr>
          <w:b/>
        </w:rPr>
      </w:pPr>
    </w:p>
    <w:p>
      <w:pPr>
        <w:pStyle w:val="ListParagraph"/>
        <w:numPr>
          <w:ilvl w:val="0"/>
          <w:numId w:val="2"/>
        </w:numPr>
        <w:tabs>
          <w:tab w:pos="1820" w:val="left" w:leader="none"/>
        </w:tabs>
        <w:spacing w:line="480" w:lineRule="auto" w:before="0" w:after="0"/>
        <w:ind w:left="379" w:right="116" w:firstLine="721"/>
        <w:jc w:val="both"/>
        <w:rPr>
          <w:sz w:val="28"/>
        </w:rPr>
      </w:pPr>
      <w:r>
        <w:rPr>
          <w:sz w:val="28"/>
        </w:rPr>
        <w:t>C.R.S. § 13-90-106 indicates that children under the age of ten may be incompetent to testify at trial, and the Court must make findings for them to be allowed to be placed under</w:t>
      </w:r>
      <w:r>
        <w:rPr>
          <w:spacing w:val="1"/>
          <w:sz w:val="28"/>
        </w:rPr>
        <w:t> </w:t>
      </w:r>
      <w:r>
        <w:rPr>
          <w:sz w:val="28"/>
        </w:rPr>
        <w:t>oath.</w:t>
      </w:r>
    </w:p>
    <w:p>
      <w:pPr>
        <w:pStyle w:val="ListParagraph"/>
        <w:numPr>
          <w:ilvl w:val="0"/>
          <w:numId w:val="2"/>
        </w:numPr>
        <w:tabs>
          <w:tab w:pos="1820" w:val="left" w:leader="none"/>
        </w:tabs>
        <w:spacing w:line="480" w:lineRule="auto" w:before="0" w:after="0"/>
        <w:ind w:left="379" w:right="118" w:firstLine="720"/>
        <w:jc w:val="both"/>
        <w:rPr>
          <w:i/>
          <w:sz w:val="28"/>
        </w:rPr>
      </w:pPr>
      <w:r>
        <w:rPr>
          <w:sz w:val="28"/>
        </w:rPr>
        <w:t>To be found competent to testify, the Court must make a finding that the child witness is capable of “receiving just impressions of the facts respecting which they are examined or of relating them truly.”</w:t>
      </w:r>
      <w:r>
        <w:rPr>
          <w:spacing w:val="-6"/>
          <w:sz w:val="28"/>
        </w:rPr>
        <w:t> </w:t>
      </w:r>
      <w:r>
        <w:rPr>
          <w:i/>
          <w:sz w:val="28"/>
        </w:rPr>
        <w:t>Id.</w:t>
      </w:r>
    </w:p>
    <w:p>
      <w:pPr>
        <w:pStyle w:val="ListParagraph"/>
        <w:numPr>
          <w:ilvl w:val="0"/>
          <w:numId w:val="2"/>
        </w:numPr>
        <w:tabs>
          <w:tab w:pos="1820" w:val="left" w:leader="none"/>
        </w:tabs>
        <w:spacing w:line="480" w:lineRule="auto" w:before="0" w:after="0"/>
        <w:ind w:left="379" w:right="117" w:firstLine="720"/>
        <w:jc w:val="both"/>
        <w:rPr>
          <w:sz w:val="28"/>
        </w:rPr>
      </w:pPr>
      <w:r>
        <w:rPr>
          <w:sz w:val="28"/>
        </w:rPr>
        <w:t>Further, an inquiry into a child witness' competency requires that the court determine whether the child was competent both at the time of the alleged act and at the time she is to testify. </w:t>
      </w:r>
      <w:r>
        <w:rPr>
          <w:i/>
          <w:sz w:val="28"/>
        </w:rPr>
        <w:t>People v. Bowers</w:t>
      </w:r>
      <w:r>
        <w:rPr>
          <w:sz w:val="28"/>
        </w:rPr>
        <w:t>, 801 P.2d 511,519 (Colo.</w:t>
      </w:r>
      <w:r>
        <w:rPr>
          <w:spacing w:val="-22"/>
          <w:sz w:val="28"/>
        </w:rPr>
        <w:t> </w:t>
      </w:r>
      <w:r>
        <w:rPr>
          <w:sz w:val="28"/>
        </w:rPr>
        <w:t>1990).</w:t>
      </w:r>
    </w:p>
    <w:p>
      <w:pPr>
        <w:pStyle w:val="ListParagraph"/>
        <w:numPr>
          <w:ilvl w:val="0"/>
          <w:numId w:val="2"/>
        </w:numPr>
        <w:tabs>
          <w:tab w:pos="1820" w:val="left" w:leader="none"/>
        </w:tabs>
        <w:spacing w:line="480" w:lineRule="auto" w:before="0" w:after="0"/>
        <w:ind w:left="379" w:right="115" w:firstLine="720"/>
        <w:jc w:val="both"/>
        <w:rPr>
          <w:sz w:val="28"/>
        </w:rPr>
      </w:pPr>
      <w:r>
        <w:rPr>
          <w:sz w:val="28"/>
        </w:rPr>
        <w:t>Corruption of witness memory has long been grounds for exclusion of evidence in Colorado. </w:t>
      </w:r>
      <w:r>
        <w:rPr>
          <w:i/>
          <w:sz w:val="28"/>
        </w:rPr>
        <w:t>See People v. Romero</w:t>
      </w:r>
      <w:r>
        <w:rPr>
          <w:sz w:val="28"/>
        </w:rPr>
        <w:t>, 745 P.2d 1003 (Colo. 1987); </w:t>
      </w:r>
      <w:r>
        <w:rPr>
          <w:i/>
          <w:sz w:val="28"/>
        </w:rPr>
        <w:t>see also People v. </w:t>
      </w:r>
      <w:r>
        <w:rPr>
          <w:i/>
          <w:sz w:val="28"/>
        </w:rPr>
        <w:t>Hansen</w:t>
      </w:r>
      <w:r>
        <w:rPr>
          <w:sz w:val="28"/>
        </w:rPr>
        <w:t>, 920 P.2d 831, 838-39 (Colo.App. 1995) (trial court deciding admissibility of child's hearsay statements under § 13-25-129 must determine whether reliability of</w:t>
      </w:r>
      <w:r>
        <w:rPr>
          <w:spacing w:val="-8"/>
          <w:sz w:val="28"/>
        </w:rPr>
        <w:t> </w:t>
      </w:r>
      <w:r>
        <w:rPr>
          <w:sz w:val="28"/>
        </w:rPr>
        <w:t>out</w:t>
      </w:r>
    </w:p>
    <w:p>
      <w:pPr>
        <w:spacing w:after="0" w:line="480" w:lineRule="auto"/>
        <w:jc w:val="both"/>
        <w:rPr>
          <w:sz w:val="28"/>
        </w:rPr>
        <w:sectPr>
          <w:pgSz w:w="12240" w:h="15840"/>
          <w:pgMar w:top="1360" w:bottom="280" w:left="1060" w:right="1320"/>
        </w:sectPr>
      </w:pPr>
    </w:p>
    <w:p>
      <w:pPr>
        <w:pStyle w:val="BodyText"/>
        <w:spacing w:line="480" w:lineRule="auto" w:before="80"/>
        <w:ind w:left="380" w:right="118"/>
        <w:jc w:val="both"/>
      </w:pPr>
      <w:r>
        <w:rPr/>
        <w:t>of court statements was tainted by events intervening between the alleged acts of sexual abuse and the time the statements were made).</w:t>
      </w:r>
    </w:p>
    <w:p>
      <w:pPr>
        <w:pStyle w:val="ListParagraph"/>
        <w:numPr>
          <w:ilvl w:val="0"/>
          <w:numId w:val="2"/>
        </w:numPr>
        <w:tabs>
          <w:tab w:pos="1820" w:val="left" w:leader="none"/>
        </w:tabs>
        <w:spacing w:line="480" w:lineRule="auto" w:before="0" w:after="0"/>
        <w:ind w:left="380" w:right="115" w:firstLine="719"/>
        <w:jc w:val="both"/>
        <w:rPr>
          <w:sz w:val="28"/>
        </w:rPr>
      </w:pPr>
      <w:r>
        <w:rPr>
          <w:sz w:val="28"/>
        </w:rPr>
        <w:t>Courts have shown additional concern not just that testimony may be corrupted through time, but may also be tainted through improper techniques. "Taint" has been described as "the implantation of false memories or the distortion of real memories caused by interview techniques of law enforcement, social service personnel, and other interested adults, that are so unduly suggestive and coercive as to infect the memory of the child, rendering that child incompetent to testify." </w:t>
      </w:r>
      <w:r>
        <w:rPr>
          <w:i/>
          <w:sz w:val="28"/>
        </w:rPr>
        <w:t>Com v. </w:t>
      </w:r>
      <w:r>
        <w:rPr>
          <w:i/>
          <w:sz w:val="28"/>
        </w:rPr>
        <w:t>Delbridge</w:t>
      </w:r>
      <w:r>
        <w:rPr>
          <w:sz w:val="28"/>
        </w:rPr>
        <w:t>, 855 A.2d 27,35 (Pa. 2003) (citing Julie Jablonski, Assessing the Future o/Taint Hearings, 33 Suff. J. Trial &amp; App. Adv. 49, 50 (1998)). "The core belief underlying the theory of taint is that a child's memory is peculiarly susceptible to suggestibility so that when called to testify a child may have difficulty distinguishing fact from fantasy." </w:t>
      </w:r>
      <w:r>
        <w:rPr>
          <w:i/>
          <w:sz w:val="28"/>
        </w:rPr>
        <w:t>Id. </w:t>
      </w:r>
      <w:r>
        <w:rPr>
          <w:sz w:val="28"/>
        </w:rPr>
        <w:t>(citing Josephine A. Bulkey, </w:t>
      </w:r>
      <w:r>
        <w:rPr>
          <w:i/>
          <w:sz w:val="28"/>
        </w:rPr>
        <w:t>The Impact o/New Child Witness </w:t>
      </w:r>
      <w:r>
        <w:rPr>
          <w:i/>
          <w:sz w:val="28"/>
        </w:rPr>
        <w:t>Research on Sexual Abuse Prosecutions, in Perspectives on Children's Testimony </w:t>
      </w:r>
      <w:r>
        <w:rPr>
          <w:sz w:val="28"/>
        </w:rPr>
        <w:t>208, 213 (Stephen J. Ceci et al. eds,</w:t>
      </w:r>
      <w:r>
        <w:rPr>
          <w:spacing w:val="-3"/>
          <w:sz w:val="28"/>
        </w:rPr>
        <w:t> </w:t>
      </w:r>
      <w:r>
        <w:rPr>
          <w:sz w:val="28"/>
        </w:rPr>
        <w:t>1989)).</w:t>
      </w:r>
    </w:p>
    <w:p>
      <w:pPr>
        <w:pStyle w:val="Heading1"/>
        <w:spacing w:line="314" w:lineRule="exact"/>
        <w:ind w:left="4219"/>
      </w:pPr>
      <w:r>
        <w:rPr/>
        <w:t>ARGUMENT</w:t>
      </w:r>
    </w:p>
    <w:p>
      <w:pPr>
        <w:pStyle w:val="BodyText"/>
        <w:spacing w:before="10"/>
        <w:rPr>
          <w:b/>
          <w:sz w:val="27"/>
        </w:rPr>
      </w:pPr>
    </w:p>
    <w:p>
      <w:pPr>
        <w:pStyle w:val="ListParagraph"/>
        <w:numPr>
          <w:ilvl w:val="0"/>
          <w:numId w:val="2"/>
        </w:numPr>
        <w:tabs>
          <w:tab w:pos="1819" w:val="left" w:leader="none"/>
          <w:tab w:pos="1820" w:val="left" w:leader="none"/>
        </w:tabs>
        <w:spacing w:line="240" w:lineRule="auto" w:before="1" w:after="0"/>
        <w:ind w:left="1819" w:right="0" w:hanging="720"/>
        <w:jc w:val="left"/>
        <w:rPr>
          <w:sz w:val="28"/>
        </w:rPr>
      </w:pPr>
      <w:r>
        <w:rPr>
          <w:sz w:val="28"/>
        </w:rPr>
        <w:t>On</w:t>
      </w:r>
      <w:r>
        <w:rPr>
          <w:spacing w:val="44"/>
          <w:sz w:val="28"/>
        </w:rPr>
        <w:t> </w:t>
      </w:r>
      <w:r>
        <w:rPr>
          <w:sz w:val="28"/>
        </w:rPr>
        <w:t>April</w:t>
      </w:r>
      <w:r>
        <w:rPr>
          <w:spacing w:val="45"/>
          <w:sz w:val="28"/>
        </w:rPr>
        <w:t> </w:t>
      </w:r>
      <w:r>
        <w:rPr>
          <w:sz w:val="28"/>
        </w:rPr>
        <w:t>28,</w:t>
      </w:r>
      <w:r>
        <w:rPr>
          <w:spacing w:val="45"/>
          <w:sz w:val="28"/>
        </w:rPr>
        <w:t> </w:t>
      </w:r>
      <w:r>
        <w:rPr>
          <w:sz w:val="28"/>
        </w:rPr>
        <w:t>2017,</w:t>
      </w:r>
      <w:r>
        <w:rPr>
          <w:spacing w:val="45"/>
          <w:sz w:val="28"/>
        </w:rPr>
        <w:t> </w:t>
      </w:r>
      <w:r>
        <w:rPr>
          <w:sz w:val="28"/>
        </w:rPr>
        <w:t>all</w:t>
      </w:r>
      <w:r>
        <w:rPr>
          <w:spacing w:val="43"/>
          <w:sz w:val="28"/>
        </w:rPr>
        <w:t> </w:t>
      </w:r>
      <w:r>
        <w:rPr>
          <w:sz w:val="28"/>
        </w:rPr>
        <w:t>three</w:t>
      </w:r>
      <w:r>
        <w:rPr>
          <w:spacing w:val="45"/>
          <w:sz w:val="28"/>
        </w:rPr>
        <w:t> </w:t>
      </w:r>
      <w:r>
        <w:rPr>
          <w:sz w:val="28"/>
        </w:rPr>
        <w:t>children</w:t>
      </w:r>
      <w:r>
        <w:rPr>
          <w:spacing w:val="44"/>
          <w:sz w:val="28"/>
        </w:rPr>
        <w:t> </w:t>
      </w:r>
      <w:r>
        <w:rPr>
          <w:sz w:val="28"/>
        </w:rPr>
        <w:t>were</w:t>
      </w:r>
      <w:r>
        <w:rPr>
          <w:spacing w:val="45"/>
          <w:sz w:val="28"/>
        </w:rPr>
        <w:t> </w:t>
      </w:r>
      <w:r>
        <w:rPr>
          <w:sz w:val="28"/>
        </w:rPr>
        <w:t>well</w:t>
      </w:r>
      <w:r>
        <w:rPr>
          <w:spacing w:val="43"/>
          <w:sz w:val="28"/>
        </w:rPr>
        <w:t> </w:t>
      </w:r>
      <w:r>
        <w:rPr>
          <w:sz w:val="28"/>
        </w:rPr>
        <w:t>under</w:t>
      </w:r>
      <w:r>
        <w:rPr>
          <w:spacing w:val="44"/>
          <w:sz w:val="28"/>
        </w:rPr>
        <w:t> </w:t>
      </w:r>
      <w:r>
        <w:rPr>
          <w:sz w:val="28"/>
        </w:rPr>
        <w:t>the</w:t>
      </w:r>
      <w:r>
        <w:rPr>
          <w:spacing w:val="45"/>
          <w:sz w:val="28"/>
        </w:rPr>
        <w:t> </w:t>
      </w:r>
      <w:r>
        <w:rPr>
          <w:sz w:val="28"/>
        </w:rPr>
        <w:t>age</w:t>
      </w:r>
      <w:r>
        <w:rPr>
          <w:spacing w:val="44"/>
          <w:sz w:val="28"/>
        </w:rPr>
        <w:t> </w:t>
      </w:r>
      <w:r>
        <w:rPr>
          <w:sz w:val="28"/>
        </w:rPr>
        <w:t>of</w:t>
      </w:r>
      <w:r>
        <w:rPr>
          <w:spacing w:val="44"/>
          <w:sz w:val="28"/>
        </w:rPr>
        <w:t> </w:t>
      </w:r>
      <w:r>
        <w:rPr>
          <w:sz w:val="28"/>
        </w:rPr>
        <w:t>ten.</w:t>
      </w:r>
    </w:p>
    <w:p>
      <w:pPr>
        <w:pStyle w:val="BodyText"/>
        <w:spacing w:before="11"/>
        <w:rPr>
          <w:sz w:val="27"/>
        </w:rPr>
      </w:pPr>
    </w:p>
    <w:p>
      <w:pPr>
        <w:pStyle w:val="BodyText"/>
        <w:spacing w:line="480" w:lineRule="auto"/>
        <w:ind w:left="379" w:right="119"/>
        <w:jc w:val="both"/>
      </w:pPr>
      <w:r>
        <w:rPr/>
        <w:t>None have yet reached ten-years old, and by the date of trial, only Alexandra will have reached the age of ten. It is unlikely that Calvin has any memory of these events, due to his infancy.</w:t>
      </w:r>
    </w:p>
    <w:p>
      <w:pPr>
        <w:pStyle w:val="ListParagraph"/>
        <w:numPr>
          <w:ilvl w:val="0"/>
          <w:numId w:val="2"/>
        </w:numPr>
        <w:tabs>
          <w:tab w:pos="1889" w:val="left" w:leader="none"/>
          <w:tab w:pos="1890" w:val="left" w:leader="none"/>
        </w:tabs>
        <w:spacing w:line="240" w:lineRule="auto" w:before="0" w:after="0"/>
        <w:ind w:left="1889" w:right="0" w:hanging="789"/>
        <w:jc w:val="left"/>
        <w:rPr>
          <w:sz w:val="28"/>
        </w:rPr>
      </w:pPr>
      <w:r>
        <w:rPr>
          <w:sz w:val="28"/>
        </w:rPr>
        <w:t>Since April 28, 2017, on a number of occasions,</w:t>
      </w:r>
      <w:r>
        <w:rPr>
          <w:spacing w:val="22"/>
          <w:sz w:val="28"/>
        </w:rPr>
        <w:t> </w:t>
      </w:r>
      <w:r>
        <w:rPr>
          <w:sz w:val="28"/>
        </w:rPr>
        <w:t>Alexandra and</w:t>
      </w:r>
    </w:p>
    <w:p>
      <w:pPr>
        <w:spacing w:after="0" w:line="240" w:lineRule="auto"/>
        <w:jc w:val="left"/>
        <w:rPr>
          <w:sz w:val="28"/>
        </w:rPr>
        <w:sectPr>
          <w:pgSz w:w="12240" w:h="15840"/>
          <w:pgMar w:top="1360" w:bottom="280" w:left="1060" w:right="1320"/>
        </w:sectPr>
      </w:pPr>
    </w:p>
    <w:p>
      <w:pPr>
        <w:pStyle w:val="BodyText"/>
        <w:spacing w:line="480" w:lineRule="auto" w:before="80"/>
        <w:ind w:left="379" w:right="117"/>
        <w:jc w:val="both"/>
      </w:pPr>
      <w:r>
        <w:rPr/>
        <w:t>Kameryn have been interviewed and questioned about what happened to their mother. This includes not only forensic professional interviews, but also informal questions that may have been posed by family members, and questions the children may ask themselves or</w:t>
      </w:r>
      <w:r>
        <w:rPr>
          <w:spacing w:val="-3"/>
        </w:rPr>
        <w:t> </w:t>
      </w:r>
      <w:r>
        <w:rPr/>
        <w:t>others.</w:t>
      </w:r>
    </w:p>
    <w:p>
      <w:pPr>
        <w:pStyle w:val="ListParagraph"/>
        <w:numPr>
          <w:ilvl w:val="0"/>
          <w:numId w:val="2"/>
        </w:numPr>
        <w:tabs>
          <w:tab w:pos="1820" w:val="left" w:leader="none"/>
        </w:tabs>
        <w:spacing w:line="480" w:lineRule="auto" w:before="0" w:after="0"/>
        <w:ind w:left="379" w:right="118" w:firstLine="720"/>
        <w:jc w:val="both"/>
        <w:rPr>
          <w:sz w:val="28"/>
        </w:rPr>
      </w:pPr>
      <w:r>
        <w:rPr>
          <w:sz w:val="28"/>
        </w:rPr>
        <w:t>Due to their age, Alexandra and Kameryn remain impressionable and susceptible to suggestion. </w:t>
      </w:r>
      <w:r>
        <w:rPr>
          <w:i/>
          <w:sz w:val="28"/>
        </w:rPr>
        <w:t>See Bulkey</w:t>
      </w:r>
      <w:r>
        <w:rPr>
          <w:sz w:val="28"/>
        </w:rPr>
        <w:t>. Because of the time between the death of Molly Nickal and trial, their age at the time of their mother’s death, the number of times they have been asked to discuss the events at hand, and their own confusing feelings over death of their mother and their father being charged with murder, Alexandra and Kameryn Nickal cannot be relied upon to have received “just impressions of the facts” and to “relat[e] them truly.” C.R.S.</w:t>
      </w:r>
      <w:r>
        <w:rPr>
          <w:spacing w:val="-7"/>
          <w:sz w:val="28"/>
        </w:rPr>
        <w:t> </w:t>
      </w:r>
      <w:r>
        <w:rPr>
          <w:sz w:val="28"/>
        </w:rPr>
        <w:t>16-90-106.</w:t>
      </w:r>
    </w:p>
    <w:p>
      <w:pPr>
        <w:pStyle w:val="Heading1"/>
        <w:spacing w:line="315" w:lineRule="exact"/>
        <w:ind w:left="4090"/>
      </w:pPr>
      <w:r>
        <w:rPr/>
        <w:t>CONCLUSION</w:t>
      </w:r>
    </w:p>
    <w:p>
      <w:pPr>
        <w:pStyle w:val="BodyText"/>
        <w:spacing w:before="10"/>
        <w:rPr>
          <w:b/>
          <w:sz w:val="27"/>
        </w:rPr>
      </w:pPr>
    </w:p>
    <w:p>
      <w:pPr>
        <w:pStyle w:val="BodyText"/>
        <w:spacing w:line="480" w:lineRule="auto" w:before="1"/>
        <w:ind w:left="380" w:right="135" w:firstLine="719"/>
      </w:pPr>
      <w:r>
        <w:rPr/>
        <w:t>WHEREFORE, Gary Nickal requests this Honorable Court to recognize all three of the Nickal Children as incompetent to serve as witnesses in a trial on this matter. Mr. Nickal further requests, that this Court schedule a hearing on this motion, far enough in advance of trial, that Mr. Nickal may obtain a transcript as necessary.</w:t>
      </w:r>
    </w:p>
    <w:p>
      <w:pPr>
        <w:pStyle w:val="BodyText"/>
        <w:spacing w:line="480" w:lineRule="auto"/>
        <w:ind w:left="380" w:right="6890"/>
      </w:pPr>
      <w:r>
        <w:rPr/>
        <w:t>Dated: July 27, 2017 Respectfully Submitted,</w:t>
      </w:r>
    </w:p>
    <w:p>
      <w:pPr>
        <w:pStyle w:val="BodyText"/>
        <w:tabs>
          <w:tab w:pos="1221" w:val="left" w:leader="none"/>
          <w:tab w:pos="3702" w:val="left" w:leader="none"/>
        </w:tabs>
        <w:ind w:left="380" w:right="6155"/>
      </w:pPr>
      <w:r>
        <w:rPr>
          <w:w w:val="99"/>
          <w:u w:val="single"/>
        </w:rPr>
        <w:t> </w:t>
      </w:r>
      <w:r>
        <w:rPr>
          <w:u w:val="single"/>
        </w:rPr>
        <w:tab/>
      </w:r>
      <w:r>
        <w:rPr/>
        <w:t>/s/</w:t>
      </w:r>
      <w:r>
        <w:rPr>
          <w:u w:val="single"/>
        </w:rPr>
        <w:tab/>
      </w:r>
      <w:r>
        <w:rPr/>
        <w:t> Patrick</w:t>
      </w:r>
      <w:r>
        <w:rPr>
          <w:spacing w:val="-9"/>
        </w:rPr>
        <w:t> </w:t>
      </w:r>
      <w:r>
        <w:rPr/>
        <w:t>Mulligan,</w:t>
      </w:r>
    </w:p>
    <w:p>
      <w:pPr>
        <w:pStyle w:val="BodyText"/>
        <w:ind w:left="380"/>
      </w:pPr>
      <w:r>
        <w:rPr/>
        <w:t>Reg. No.</w:t>
      </w:r>
      <w:r>
        <w:rPr>
          <w:spacing w:val="-9"/>
        </w:rPr>
        <w:t> </w:t>
      </w:r>
      <w:r>
        <w:rPr/>
        <w:t>161981</w:t>
      </w:r>
    </w:p>
    <w:p>
      <w:pPr>
        <w:pStyle w:val="BodyText"/>
        <w:spacing w:before="2"/>
        <w:rPr>
          <w:sz w:val="22"/>
        </w:rPr>
      </w:pPr>
      <w:r>
        <w:rPr/>
        <w:drawing>
          <wp:anchor distT="0" distB="0" distL="0" distR="0" allowOverlap="1" layoutInCell="1" locked="0" behindDoc="0" simplePos="0" relativeHeight="0">
            <wp:simplePos x="0" y="0"/>
            <wp:positionH relativeFrom="page">
              <wp:posOffset>745032</wp:posOffset>
            </wp:positionH>
            <wp:positionV relativeFrom="paragraph">
              <wp:posOffset>183488</wp:posOffset>
            </wp:positionV>
            <wp:extent cx="2099996" cy="589788"/>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099996" cy="589788"/>
                    </a:xfrm>
                    <a:prstGeom prst="rect">
                      <a:avLst/>
                    </a:prstGeom>
                  </pic:spPr>
                </pic:pic>
              </a:graphicData>
            </a:graphic>
          </wp:anchor>
        </w:drawing>
      </w:r>
    </w:p>
    <w:p>
      <w:pPr>
        <w:spacing w:after="0"/>
        <w:rPr>
          <w:sz w:val="22"/>
        </w:rPr>
        <w:sectPr>
          <w:pgSz w:w="12240" w:h="15840"/>
          <w:pgMar w:top="1360" w:bottom="280" w:left="1060" w:right="1320"/>
        </w:sectPr>
      </w:pPr>
    </w:p>
    <w:p>
      <w:pPr>
        <w:pStyle w:val="BodyText"/>
        <w:rPr>
          <w:sz w:val="20"/>
        </w:rPr>
      </w:pPr>
    </w:p>
    <w:p>
      <w:pPr>
        <w:pStyle w:val="BodyText"/>
        <w:rPr>
          <w:sz w:val="26"/>
        </w:rPr>
      </w:pPr>
    </w:p>
    <w:p>
      <w:pPr>
        <w:pStyle w:val="BodyText"/>
        <w:spacing w:line="20" w:lineRule="exact"/>
        <w:ind w:left="373"/>
        <w:rPr>
          <w:sz w:val="2"/>
        </w:rPr>
      </w:pPr>
      <w:r>
        <w:rPr>
          <w:sz w:val="2"/>
        </w:rPr>
        <w:pict>
          <v:group style="width:245pt;height:.7pt;mso-position-horizontal-relative:char;mso-position-vertical-relative:line" coordorigin="0,0" coordsize="4900,14">
            <v:line style="position:absolute" from="0,7" to="4899,7" stroked="true" strokeweight=".699pt" strokecolor="#000000">
              <v:stroke dashstyle="solid"/>
            </v:line>
          </v:group>
        </w:pict>
      </w:r>
      <w:r>
        <w:rPr>
          <w:sz w:val="2"/>
        </w:rPr>
      </w:r>
    </w:p>
    <w:p>
      <w:pPr>
        <w:pStyle w:val="BodyText"/>
        <w:spacing w:before="32"/>
        <w:ind w:left="380"/>
      </w:pPr>
      <w:r>
        <w:rPr/>
        <w:t>Jennifer Longtin, #43509</w:t>
      </w:r>
    </w:p>
    <w:p>
      <w:pPr>
        <w:pStyle w:val="BodyText"/>
        <w:ind w:left="380"/>
      </w:pPr>
      <w:r>
        <w:rPr/>
        <w:t>The Law Office of Jennifer E. Longtin, LLC</w:t>
      </w:r>
    </w:p>
    <w:p>
      <w:pPr>
        <w:pStyle w:val="BodyText"/>
        <w:rPr>
          <w:sz w:val="30"/>
        </w:rPr>
      </w:pPr>
    </w:p>
    <w:p>
      <w:pPr>
        <w:pStyle w:val="BodyText"/>
        <w:spacing w:before="6"/>
        <w:rPr>
          <w:sz w:val="41"/>
        </w:rPr>
      </w:pPr>
    </w:p>
    <w:p>
      <w:pPr>
        <w:pStyle w:val="Heading1"/>
        <w:ind w:left="3839"/>
      </w:pPr>
      <w:r>
        <w:rPr/>
        <w:t>Certificate of Service</w:t>
      </w:r>
    </w:p>
    <w:p>
      <w:pPr>
        <w:pStyle w:val="BodyText"/>
        <w:rPr>
          <w:b/>
        </w:rPr>
      </w:pPr>
    </w:p>
    <w:p>
      <w:pPr>
        <w:pStyle w:val="BodyText"/>
        <w:spacing w:line="480" w:lineRule="auto" w:after="4"/>
        <w:ind w:left="380" w:right="1113"/>
      </w:pPr>
      <w:r>
        <w:rPr/>
        <w:t>The undersigned does hereby certify that on July 27, 2017, s/he did serve the foregoing MOTION via ICCES to all counsel of record.</w:t>
      </w:r>
    </w:p>
    <w:p>
      <w:pPr>
        <w:pStyle w:val="BodyText"/>
        <w:ind w:left="422"/>
        <w:rPr>
          <w:sz w:val="20"/>
        </w:rPr>
      </w:pPr>
      <w:r>
        <w:rPr>
          <w:sz w:val="20"/>
        </w:rPr>
        <w:drawing>
          <wp:inline distT="0" distB="0" distL="0" distR="0">
            <wp:extent cx="2322299" cy="585692"/>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322299" cy="585692"/>
                    </a:xfrm>
                    <a:prstGeom prst="rect">
                      <a:avLst/>
                    </a:prstGeom>
                  </pic:spPr>
                </pic:pic>
              </a:graphicData>
            </a:graphic>
          </wp:inline>
        </w:drawing>
      </w:r>
      <w:r>
        <w:rPr>
          <w:sz w:val="20"/>
        </w:rPr>
      </w:r>
    </w:p>
    <w:p>
      <w:pPr>
        <w:pStyle w:val="BodyText"/>
        <w:rPr>
          <w:sz w:val="20"/>
        </w:rPr>
      </w:pPr>
    </w:p>
    <w:p>
      <w:pPr>
        <w:pStyle w:val="BodyText"/>
        <w:spacing w:before="1"/>
      </w:pPr>
      <w:r>
        <w:rPr/>
        <w:pict>
          <v:line style="position:absolute;mso-position-horizontal-relative:page;mso-position-vertical-relative:paragraph;z-index:-976;mso-wrap-distance-left:0;mso-wrap-distance-right:0" from="72.005463pt,18.144270pt" to="281.985071pt,18.144270pt" stroked="true" strokeweight=".699pt" strokecolor="#000000">
            <v:stroke dashstyle="solid"/>
            <w10:wrap type="topAndBottom"/>
          </v:line>
        </w:pict>
      </w:r>
    </w:p>
    <w:sectPr>
      <w:pgSz w:w="12240" w:h="15840"/>
      <w:pgMar w:top="1500" w:bottom="280" w:left="10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80" w:hanging="720"/>
        <w:jc w:val="left"/>
      </w:pPr>
      <w:rPr>
        <w:rFonts w:hint="default" w:ascii="Garamond" w:hAnsi="Garamond" w:eastAsia="Garamond" w:cs="Garamond"/>
        <w:spacing w:val="-1"/>
        <w:w w:val="99"/>
        <w:sz w:val="28"/>
        <w:szCs w:val="28"/>
      </w:rPr>
    </w:lvl>
    <w:lvl w:ilvl="1">
      <w:start w:val="0"/>
      <w:numFmt w:val="bullet"/>
      <w:lvlText w:val="•"/>
      <w:lvlJc w:val="left"/>
      <w:pPr>
        <w:ind w:left="1328" w:hanging="720"/>
      </w:pPr>
      <w:rPr>
        <w:rFonts w:hint="default"/>
      </w:rPr>
    </w:lvl>
    <w:lvl w:ilvl="2">
      <w:start w:val="0"/>
      <w:numFmt w:val="bullet"/>
      <w:lvlText w:val="•"/>
      <w:lvlJc w:val="left"/>
      <w:pPr>
        <w:ind w:left="2276" w:hanging="720"/>
      </w:pPr>
      <w:rPr>
        <w:rFonts w:hint="default"/>
      </w:rPr>
    </w:lvl>
    <w:lvl w:ilvl="3">
      <w:start w:val="0"/>
      <w:numFmt w:val="bullet"/>
      <w:lvlText w:val="•"/>
      <w:lvlJc w:val="left"/>
      <w:pPr>
        <w:ind w:left="3224" w:hanging="720"/>
      </w:pPr>
      <w:rPr>
        <w:rFonts w:hint="default"/>
      </w:rPr>
    </w:lvl>
    <w:lvl w:ilvl="4">
      <w:start w:val="0"/>
      <w:numFmt w:val="bullet"/>
      <w:lvlText w:val="•"/>
      <w:lvlJc w:val="left"/>
      <w:pPr>
        <w:ind w:left="4172" w:hanging="720"/>
      </w:pPr>
      <w:rPr>
        <w:rFonts w:hint="default"/>
      </w:rPr>
    </w:lvl>
    <w:lvl w:ilvl="5">
      <w:start w:val="0"/>
      <w:numFmt w:val="bullet"/>
      <w:lvlText w:val="•"/>
      <w:lvlJc w:val="left"/>
      <w:pPr>
        <w:ind w:left="5120" w:hanging="720"/>
      </w:pPr>
      <w:rPr>
        <w:rFonts w:hint="default"/>
      </w:rPr>
    </w:lvl>
    <w:lvl w:ilvl="6">
      <w:start w:val="0"/>
      <w:numFmt w:val="bullet"/>
      <w:lvlText w:val="•"/>
      <w:lvlJc w:val="left"/>
      <w:pPr>
        <w:ind w:left="6068" w:hanging="720"/>
      </w:pPr>
      <w:rPr>
        <w:rFonts w:hint="default"/>
      </w:rPr>
    </w:lvl>
    <w:lvl w:ilvl="7">
      <w:start w:val="0"/>
      <w:numFmt w:val="bullet"/>
      <w:lvlText w:val="•"/>
      <w:lvlJc w:val="left"/>
      <w:pPr>
        <w:ind w:left="7016" w:hanging="720"/>
      </w:pPr>
      <w:rPr>
        <w:rFonts w:hint="default"/>
      </w:rPr>
    </w:lvl>
    <w:lvl w:ilvl="8">
      <w:start w:val="0"/>
      <w:numFmt w:val="bullet"/>
      <w:lvlText w:val="•"/>
      <w:lvlJc w:val="left"/>
      <w:pPr>
        <w:ind w:left="7964" w:hanging="720"/>
      </w:pPr>
      <w:rPr>
        <w:rFonts w:hint="default"/>
      </w:rPr>
    </w:lvl>
  </w:abstractNum>
  <w:abstractNum w:abstractNumId="0">
    <w:multiLevelType w:val="hybridMultilevel"/>
    <w:lvl w:ilvl="0">
      <w:start w:val="0"/>
      <w:numFmt w:val="bullet"/>
      <w:lvlText w:val=""/>
      <w:lvlJc w:val="left"/>
      <w:pPr>
        <w:ind w:left="519" w:hanging="198"/>
      </w:pPr>
      <w:rPr>
        <w:rFonts w:hint="default" w:ascii="Wingdings" w:hAnsi="Wingdings" w:eastAsia="Wingdings" w:cs="Wingdings"/>
        <w:w w:val="99"/>
        <w:sz w:val="28"/>
        <w:szCs w:val="28"/>
      </w:rPr>
    </w:lvl>
    <w:lvl w:ilvl="1">
      <w:start w:val="0"/>
      <w:numFmt w:val="bullet"/>
      <w:lvlText w:val="•"/>
      <w:lvlJc w:val="left"/>
      <w:pPr>
        <w:ind w:left="809" w:hanging="198"/>
      </w:pPr>
      <w:rPr>
        <w:rFonts w:hint="default"/>
      </w:rPr>
    </w:lvl>
    <w:lvl w:ilvl="2">
      <w:start w:val="0"/>
      <w:numFmt w:val="bullet"/>
      <w:lvlText w:val="•"/>
      <w:lvlJc w:val="left"/>
      <w:pPr>
        <w:ind w:left="1098" w:hanging="198"/>
      </w:pPr>
      <w:rPr>
        <w:rFonts w:hint="default"/>
      </w:rPr>
    </w:lvl>
    <w:lvl w:ilvl="3">
      <w:start w:val="0"/>
      <w:numFmt w:val="bullet"/>
      <w:lvlText w:val="•"/>
      <w:lvlJc w:val="left"/>
      <w:pPr>
        <w:ind w:left="1387" w:hanging="198"/>
      </w:pPr>
      <w:rPr>
        <w:rFonts w:hint="default"/>
      </w:rPr>
    </w:lvl>
    <w:lvl w:ilvl="4">
      <w:start w:val="0"/>
      <w:numFmt w:val="bullet"/>
      <w:lvlText w:val="•"/>
      <w:lvlJc w:val="left"/>
      <w:pPr>
        <w:ind w:left="1676" w:hanging="198"/>
      </w:pPr>
      <w:rPr>
        <w:rFonts w:hint="default"/>
      </w:rPr>
    </w:lvl>
    <w:lvl w:ilvl="5">
      <w:start w:val="0"/>
      <w:numFmt w:val="bullet"/>
      <w:lvlText w:val="•"/>
      <w:lvlJc w:val="left"/>
      <w:pPr>
        <w:ind w:left="1965" w:hanging="198"/>
      </w:pPr>
      <w:rPr>
        <w:rFonts w:hint="default"/>
      </w:rPr>
    </w:lvl>
    <w:lvl w:ilvl="6">
      <w:start w:val="0"/>
      <w:numFmt w:val="bullet"/>
      <w:lvlText w:val="•"/>
      <w:lvlJc w:val="left"/>
      <w:pPr>
        <w:ind w:left="2254" w:hanging="198"/>
      </w:pPr>
      <w:rPr>
        <w:rFonts w:hint="default"/>
      </w:rPr>
    </w:lvl>
    <w:lvl w:ilvl="7">
      <w:start w:val="0"/>
      <w:numFmt w:val="bullet"/>
      <w:lvlText w:val="•"/>
      <w:lvlJc w:val="left"/>
      <w:pPr>
        <w:ind w:left="2543" w:hanging="198"/>
      </w:pPr>
      <w:rPr>
        <w:rFonts w:hint="default"/>
      </w:rPr>
    </w:lvl>
    <w:lvl w:ilvl="8">
      <w:start w:val="0"/>
      <w:numFmt w:val="bullet"/>
      <w:lvlText w:val="•"/>
      <w:lvlJc w:val="left"/>
      <w:pPr>
        <w:ind w:left="2832" w:hanging="198"/>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8"/>
      <w:szCs w:val="28"/>
    </w:rPr>
  </w:style>
  <w:style w:styleId="Heading1" w:type="paragraph">
    <w:name w:val="Heading 1"/>
    <w:basedOn w:val="Normal"/>
    <w:uiPriority w:val="1"/>
    <w:qFormat/>
    <w:pPr>
      <w:ind w:left="4598"/>
      <w:outlineLvl w:val="1"/>
    </w:pPr>
    <w:rPr>
      <w:rFonts w:ascii="Garamond" w:hAnsi="Garamond" w:eastAsia="Garamond" w:cs="Garamond"/>
      <w:b/>
      <w:bCs/>
      <w:sz w:val="28"/>
      <w:szCs w:val="28"/>
    </w:rPr>
  </w:style>
  <w:style w:styleId="ListParagraph" w:type="paragraph">
    <w:name w:val="List Paragraph"/>
    <w:basedOn w:val="Normal"/>
    <w:uiPriority w:val="1"/>
    <w:qFormat/>
    <w:pPr>
      <w:ind w:left="379" w:firstLine="720"/>
      <w:jc w:val="both"/>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atrick@MulliganBriet.com" TargetMode="External"/><Relationship Id="rId6" Type="http://schemas.openxmlformats.org/officeDocument/2006/relationships/hyperlink" Target="mailto:Jen@jlongtinlaw.com"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2019-03-20T18:41:34Z</dcterms:created>
  <dcterms:modified xsi:type="dcterms:W3CDTF">2019-03-20T18:41:34Z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