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2945"/>
        <w:gridCol w:w="474"/>
      </w:tblGrid>
      <w:tr>
        <w:trPr>
          <w:trHeight w:val="1322" w:hRule="atLeast"/>
        </w:trPr>
        <w:tc>
          <w:tcPr>
            <w:tcW w:w="5958" w:type="dxa"/>
          </w:tcPr>
          <w:p>
            <w:pPr>
              <w:pStyle w:val="TableParagraph"/>
              <w:spacing w:line="311" w:lineRule="exact"/>
              <w:ind w:left="107"/>
              <w:rPr>
                <w:sz w:val="28"/>
              </w:rPr>
            </w:pPr>
            <w:r>
              <w:rPr>
                <w:sz w:val="28"/>
              </w:rPr>
              <w:t>DISTRICT COURT</w:t>
            </w:r>
          </w:p>
          <w:p>
            <w:pPr>
              <w:pStyle w:val="TableParagraph"/>
              <w:spacing w:before="16"/>
              <w:ind w:left="107"/>
              <w:rPr>
                <w:sz w:val="28"/>
              </w:rPr>
            </w:pPr>
            <w:r>
              <w:rPr>
                <w:sz w:val="28"/>
              </w:rPr>
              <w:t>JEFFERSON COUNTY, COLORADO</w:t>
            </w:r>
          </w:p>
          <w:p>
            <w:pPr>
              <w:pStyle w:val="TableParagraph"/>
              <w:tabs>
                <w:tab w:pos="5852" w:val="left" w:leader="none"/>
              </w:tabs>
              <w:spacing w:line="184" w:lineRule="auto" w:before="49"/>
              <w:ind w:left="107" w:right="-29"/>
              <w:rPr>
                <w:rFonts w:ascii="Times New Roman"/>
                <w:sz w:val="20"/>
              </w:rPr>
            </w:pPr>
            <w:r>
              <w:rPr>
                <w:sz w:val="28"/>
              </w:rPr>
              <w:t>100 JEFFERSON</w:t>
            </w:r>
            <w:r>
              <w:rPr>
                <w:spacing w:val="-4"/>
                <w:sz w:val="28"/>
              </w:rPr>
              <w:t> </w:t>
            </w:r>
            <w:r>
              <w:rPr>
                <w:sz w:val="28"/>
              </w:rPr>
              <w:t>COUNTY PARKWAY</w:t>
              <w:tab/>
            </w:r>
            <w:r>
              <w:rPr>
                <w:rFonts w:ascii="Times New Roman"/>
                <w:color w:val="0000FF"/>
                <w:position w:val="-12"/>
                <w:sz w:val="20"/>
              </w:rPr>
              <w:t>F</w:t>
            </w:r>
          </w:p>
          <w:p>
            <w:pPr>
              <w:pStyle w:val="TableParagraph"/>
              <w:tabs>
                <w:tab w:pos="5852" w:val="left" w:leader="none"/>
              </w:tabs>
              <w:spacing w:line="269" w:lineRule="exact"/>
              <w:ind w:left="107" w:right="-44"/>
              <w:rPr>
                <w:rFonts w:ascii="Times New Roman"/>
                <w:sz w:val="20"/>
              </w:rPr>
            </w:pPr>
            <w:r>
              <w:rPr>
                <w:position w:val="1"/>
                <w:sz w:val="28"/>
              </w:rPr>
              <w:t>GOLDEN,</w:t>
            </w:r>
            <w:r>
              <w:rPr>
                <w:spacing w:val="-1"/>
                <w:position w:val="1"/>
                <w:sz w:val="28"/>
              </w:rPr>
              <w:t> </w:t>
            </w:r>
            <w:r>
              <w:rPr>
                <w:position w:val="1"/>
                <w:sz w:val="28"/>
              </w:rPr>
              <w:t>COLORADO</w:t>
            </w:r>
            <w:r>
              <w:rPr>
                <w:spacing w:val="-1"/>
                <w:position w:val="1"/>
                <w:sz w:val="28"/>
              </w:rPr>
              <w:t> </w:t>
            </w:r>
            <w:r>
              <w:rPr>
                <w:position w:val="1"/>
                <w:sz w:val="28"/>
              </w:rPr>
              <w:t>80401</w:t>
              <w:tab/>
            </w:r>
            <w:r>
              <w:rPr>
                <w:rFonts w:ascii="Times New Roman"/>
                <w:color w:val="0000FF"/>
                <w:spacing w:val="-14"/>
                <w:sz w:val="20"/>
              </w:rPr>
              <w:t>C</w:t>
            </w:r>
          </w:p>
        </w:tc>
        <w:tc>
          <w:tcPr>
            <w:tcW w:w="2945" w:type="dxa"/>
            <w:vMerge w:val="restart"/>
            <w:tcBorders>
              <w:right w:val="nil"/>
            </w:tcBorders>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7" w:firstLine="33"/>
              <w:rPr>
                <w:rFonts w:ascii="Times New Roman"/>
                <w:sz w:val="20"/>
              </w:rPr>
            </w:pPr>
            <w:r>
              <w:rPr>
                <w:rFonts w:ascii="Times New Roman"/>
                <w:color w:val="0000FF"/>
                <w:sz w:val="20"/>
              </w:rPr>
              <w:t>ATE FILED: July 27, 2017 11:27 ILING ID: B66D91699A5C1</w:t>
            </w:r>
          </w:p>
          <w:p>
            <w:pPr>
              <w:pStyle w:val="TableParagraph"/>
              <w:spacing w:line="218" w:lineRule="exact"/>
              <w:ind w:left="30"/>
              <w:rPr>
                <w:rFonts w:ascii="Times New Roman"/>
                <w:sz w:val="20"/>
              </w:rPr>
            </w:pPr>
            <w:r>
              <w:rPr>
                <w:rFonts w:ascii="Times New Roman"/>
                <w:color w:val="0000FF"/>
                <w:sz w:val="20"/>
              </w:rPr>
              <w:t>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8"/>
              </w:rPr>
            </w:pPr>
          </w:p>
          <w:p>
            <w:pPr>
              <w:pStyle w:val="TableParagraph"/>
              <w:spacing w:before="1"/>
              <w:ind w:left="280"/>
              <w:rPr>
                <w:sz w:val="28"/>
              </w:rPr>
            </w:pPr>
            <w:r>
              <w:rPr>
                <w:rFonts w:ascii="Symbol" w:hAnsi="Symbol"/>
                <w:sz w:val="28"/>
              </w:rPr>
              <w:t></w:t>
            </w:r>
            <w:r>
              <w:rPr>
                <w:rFonts w:ascii="Times New Roman" w:hAnsi="Times New Roman"/>
                <w:sz w:val="28"/>
              </w:rPr>
              <w:t> </w:t>
            </w:r>
            <w:r>
              <w:rPr>
                <w:sz w:val="28"/>
              </w:rPr>
              <w:t>COURT USE ONLY</w:t>
            </w:r>
          </w:p>
        </w:tc>
        <w:tc>
          <w:tcPr>
            <w:tcW w:w="474" w:type="dxa"/>
            <w:vMerge w:val="restart"/>
            <w:tcBorders>
              <w:left w:val="nil"/>
            </w:tcBorders>
          </w:tcPr>
          <w:p>
            <w:pPr>
              <w:pStyle w:val="TableParagraph"/>
              <w:rPr>
                <w:rFonts w:ascii="Times New Roman"/>
                <w:sz w:val="22"/>
              </w:rPr>
            </w:pPr>
          </w:p>
          <w:p>
            <w:pPr>
              <w:pStyle w:val="TableParagraph"/>
              <w:spacing w:before="6"/>
              <w:rPr>
                <w:rFonts w:ascii="Times New Roman"/>
                <w:sz w:val="32"/>
              </w:rPr>
            </w:pPr>
          </w:p>
          <w:p>
            <w:pPr>
              <w:pStyle w:val="TableParagraph"/>
              <w:ind w:left="57"/>
              <w:rPr>
                <w:rFonts w:ascii="Times New Roman"/>
                <w:sz w:val="20"/>
              </w:rPr>
            </w:pPr>
            <w:r>
              <w:rPr>
                <w:rFonts w:ascii="Times New Roman"/>
                <w:color w:val="0000FF"/>
                <w:sz w:val="20"/>
              </w:rPr>
              <w:t>AM</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41"/>
              <w:ind w:left="28"/>
              <w:rPr>
                <w:rFonts w:ascii="Symbol" w:hAnsi="Symbol"/>
                <w:sz w:val="28"/>
              </w:rPr>
            </w:pPr>
            <w:r>
              <w:rPr>
                <w:rFonts w:ascii="Symbol" w:hAnsi="Symbol"/>
                <w:w w:val="110"/>
                <w:sz w:val="28"/>
              </w:rPr>
              <w:t></w:t>
            </w:r>
          </w:p>
        </w:tc>
      </w:tr>
      <w:tr>
        <w:trPr>
          <w:trHeight w:val="2647" w:hRule="atLeast"/>
        </w:trPr>
        <w:tc>
          <w:tcPr>
            <w:tcW w:w="5958" w:type="dxa"/>
          </w:tcPr>
          <w:p>
            <w:pPr>
              <w:pStyle w:val="TableParagraph"/>
              <w:spacing w:line="249" w:lineRule="auto"/>
              <w:ind w:left="107" w:right="1366"/>
              <w:rPr>
                <w:b/>
                <w:sz w:val="28"/>
              </w:rPr>
            </w:pPr>
            <w:r>
              <w:rPr>
                <w:b/>
                <w:sz w:val="28"/>
              </w:rPr>
              <w:t>THE PEOPLE OF THE STATE OF COLORADO</w:t>
            </w:r>
          </w:p>
          <w:p>
            <w:pPr>
              <w:pStyle w:val="TableParagraph"/>
              <w:spacing w:line="504" w:lineRule="auto" w:before="3"/>
              <w:ind w:left="107" w:right="4890"/>
              <w:rPr>
                <w:sz w:val="28"/>
              </w:rPr>
            </w:pPr>
            <w:r>
              <w:rPr>
                <w:sz w:val="28"/>
              </w:rPr>
              <w:t>Plaintiff, v.</w:t>
            </w:r>
          </w:p>
          <w:p>
            <w:pPr>
              <w:pStyle w:val="TableParagraph"/>
              <w:spacing w:line="314" w:lineRule="exact"/>
              <w:ind w:left="107"/>
              <w:rPr>
                <w:sz w:val="28"/>
              </w:rPr>
            </w:pPr>
            <w:r>
              <w:rPr>
                <w:b/>
                <w:sz w:val="28"/>
              </w:rPr>
              <w:t>GARY NICKAL</w:t>
            </w:r>
            <w:r>
              <w:rPr>
                <w:sz w:val="28"/>
              </w:rPr>
              <w:t>,</w:t>
            </w:r>
          </w:p>
          <w:p>
            <w:pPr>
              <w:pStyle w:val="TableParagraph"/>
              <w:spacing w:line="315" w:lineRule="exact" w:before="17"/>
              <w:ind w:left="107"/>
              <w:rPr>
                <w:sz w:val="28"/>
              </w:rPr>
            </w:pPr>
            <w:r>
              <w:rPr>
                <w:sz w:val="28"/>
              </w:rPr>
              <w:t>Accused.</w:t>
            </w:r>
          </w:p>
        </w:tc>
        <w:tc>
          <w:tcPr>
            <w:tcW w:w="2945" w:type="dxa"/>
            <w:vMerge/>
            <w:tcBorders>
              <w:top w:val="nil"/>
              <w:right w:val="nil"/>
            </w:tcBorders>
          </w:tcPr>
          <w:p>
            <w:pPr>
              <w:rPr>
                <w:sz w:val="2"/>
                <w:szCs w:val="2"/>
              </w:rPr>
            </w:pPr>
          </w:p>
        </w:tc>
        <w:tc>
          <w:tcPr>
            <w:tcW w:w="474" w:type="dxa"/>
            <w:vMerge/>
            <w:tcBorders>
              <w:top w:val="nil"/>
              <w:left w:val="nil"/>
            </w:tcBorders>
          </w:tcPr>
          <w:p>
            <w:pPr>
              <w:rPr>
                <w:sz w:val="2"/>
                <w:szCs w:val="2"/>
              </w:rPr>
            </w:pPr>
          </w:p>
        </w:tc>
      </w:tr>
      <w:tr>
        <w:trPr>
          <w:trHeight w:val="318" w:hRule="atLeast"/>
        </w:trPr>
        <w:tc>
          <w:tcPr>
            <w:tcW w:w="5958" w:type="dxa"/>
            <w:tcBorders>
              <w:bottom w:val="nil"/>
            </w:tcBorders>
          </w:tcPr>
          <w:p>
            <w:pPr>
              <w:pStyle w:val="TableParagraph"/>
              <w:spacing w:line="299" w:lineRule="exact"/>
              <w:ind w:left="107"/>
              <w:rPr>
                <w:sz w:val="28"/>
              </w:rPr>
            </w:pPr>
            <w:r>
              <w:rPr>
                <w:sz w:val="28"/>
              </w:rPr>
              <w:t>M</w:t>
            </w:r>
            <w:r>
              <w:rPr>
                <w:sz w:val="22"/>
              </w:rPr>
              <w:t>ULLIGAN </w:t>
            </w:r>
            <w:r>
              <w:rPr>
                <w:sz w:val="28"/>
              </w:rPr>
              <w:t>B</w:t>
            </w:r>
            <w:r>
              <w:rPr>
                <w:sz w:val="22"/>
              </w:rPr>
              <w:t>RIET</w:t>
            </w:r>
            <w:r>
              <w:rPr>
                <w:sz w:val="28"/>
              </w:rPr>
              <w:t>, LLC</w:t>
            </w:r>
          </w:p>
        </w:tc>
        <w:tc>
          <w:tcPr>
            <w:tcW w:w="3419" w:type="dxa"/>
            <w:gridSpan w:val="2"/>
            <w:tcBorders>
              <w:bottom w:val="nil"/>
            </w:tcBorders>
          </w:tcPr>
          <w:p>
            <w:pPr>
              <w:pStyle w:val="TableParagraph"/>
              <w:rPr>
                <w:rFonts w:ascii="Times New Roman"/>
                <w:sz w:val="24"/>
              </w:rPr>
            </w:pPr>
          </w:p>
        </w:tc>
      </w:tr>
      <w:tr>
        <w:trPr>
          <w:trHeight w:val="331" w:hRule="atLeast"/>
        </w:trPr>
        <w:tc>
          <w:tcPr>
            <w:tcW w:w="5958" w:type="dxa"/>
            <w:tcBorders>
              <w:top w:val="nil"/>
              <w:bottom w:val="nil"/>
            </w:tcBorders>
          </w:tcPr>
          <w:p>
            <w:pPr>
              <w:pStyle w:val="TableParagraph"/>
              <w:spacing w:line="303" w:lineRule="exact" w:before="8"/>
              <w:ind w:left="107"/>
              <w:rPr>
                <w:sz w:val="28"/>
              </w:rPr>
            </w:pPr>
            <w:r>
              <w:rPr>
                <w:sz w:val="28"/>
              </w:rPr>
              <w:t>Patrick Mulligan, #16981</w:t>
            </w:r>
          </w:p>
        </w:tc>
        <w:tc>
          <w:tcPr>
            <w:tcW w:w="3419" w:type="dxa"/>
            <w:gridSpan w:val="2"/>
            <w:tcBorders>
              <w:top w:val="nil"/>
              <w:bottom w:val="nil"/>
            </w:tcBorders>
          </w:tcPr>
          <w:p>
            <w:pPr>
              <w:pStyle w:val="TableParagraph"/>
              <w:rPr>
                <w:rFonts w:ascii="Times New Roman"/>
                <w:sz w:val="24"/>
              </w:rPr>
            </w:pPr>
          </w:p>
        </w:tc>
      </w:tr>
      <w:tr>
        <w:trPr>
          <w:trHeight w:val="331" w:hRule="atLeast"/>
        </w:trPr>
        <w:tc>
          <w:tcPr>
            <w:tcW w:w="5958" w:type="dxa"/>
            <w:tcBorders>
              <w:top w:val="nil"/>
              <w:bottom w:val="nil"/>
            </w:tcBorders>
          </w:tcPr>
          <w:p>
            <w:pPr>
              <w:pStyle w:val="TableParagraph"/>
              <w:spacing w:line="303" w:lineRule="exact" w:before="8"/>
              <w:ind w:left="107"/>
              <w:rPr>
                <w:sz w:val="28"/>
              </w:rPr>
            </w:pPr>
            <w:r>
              <w:rPr>
                <w:sz w:val="28"/>
              </w:rPr>
              <w:t>1801 Broadway, Suite 1203</w:t>
            </w:r>
          </w:p>
        </w:tc>
        <w:tc>
          <w:tcPr>
            <w:tcW w:w="3419" w:type="dxa"/>
            <w:gridSpan w:val="2"/>
            <w:tcBorders>
              <w:top w:val="nil"/>
              <w:bottom w:val="nil"/>
            </w:tcBorders>
          </w:tcPr>
          <w:p>
            <w:pPr>
              <w:pStyle w:val="TableParagraph"/>
              <w:spacing w:line="303" w:lineRule="exact" w:before="8"/>
              <w:ind w:left="107"/>
              <w:rPr>
                <w:sz w:val="28"/>
              </w:rPr>
            </w:pPr>
            <w:r>
              <w:rPr>
                <w:sz w:val="28"/>
              </w:rPr>
              <w:t>Case No. 16CR001463</w:t>
            </w:r>
          </w:p>
        </w:tc>
      </w:tr>
      <w:tr>
        <w:trPr>
          <w:trHeight w:val="331" w:hRule="atLeast"/>
        </w:trPr>
        <w:tc>
          <w:tcPr>
            <w:tcW w:w="5958" w:type="dxa"/>
            <w:tcBorders>
              <w:top w:val="nil"/>
              <w:bottom w:val="nil"/>
            </w:tcBorders>
          </w:tcPr>
          <w:p>
            <w:pPr>
              <w:pStyle w:val="TableParagraph"/>
              <w:spacing w:line="303" w:lineRule="exact" w:before="8"/>
              <w:ind w:left="107"/>
              <w:rPr>
                <w:sz w:val="28"/>
              </w:rPr>
            </w:pPr>
            <w:r>
              <w:rPr>
                <w:sz w:val="28"/>
              </w:rPr>
              <w:t>Denver, CO 80202</w:t>
            </w:r>
          </w:p>
        </w:tc>
        <w:tc>
          <w:tcPr>
            <w:tcW w:w="3419" w:type="dxa"/>
            <w:gridSpan w:val="2"/>
            <w:tcBorders>
              <w:top w:val="nil"/>
              <w:bottom w:val="nil"/>
            </w:tcBorders>
          </w:tcPr>
          <w:p>
            <w:pPr>
              <w:pStyle w:val="TableParagraph"/>
              <w:rPr>
                <w:rFonts w:ascii="Times New Roman"/>
                <w:sz w:val="24"/>
              </w:rPr>
            </w:pPr>
          </w:p>
        </w:tc>
      </w:tr>
      <w:tr>
        <w:trPr>
          <w:trHeight w:val="330" w:hRule="atLeast"/>
        </w:trPr>
        <w:tc>
          <w:tcPr>
            <w:tcW w:w="5958" w:type="dxa"/>
            <w:tcBorders>
              <w:top w:val="nil"/>
              <w:bottom w:val="nil"/>
            </w:tcBorders>
          </w:tcPr>
          <w:p>
            <w:pPr>
              <w:pStyle w:val="TableParagraph"/>
              <w:spacing w:line="302" w:lineRule="exact" w:before="8"/>
              <w:ind w:left="107"/>
              <w:rPr>
                <w:sz w:val="28"/>
              </w:rPr>
            </w:pPr>
            <w:r>
              <w:rPr>
                <w:sz w:val="28"/>
              </w:rPr>
              <w:t>P</w:t>
            </w:r>
            <w:r>
              <w:rPr>
                <w:sz w:val="22"/>
              </w:rPr>
              <w:t>H</w:t>
            </w:r>
            <w:r>
              <w:rPr>
                <w:sz w:val="28"/>
              </w:rPr>
              <w:t>. 303-295-1500</w:t>
            </w:r>
          </w:p>
        </w:tc>
        <w:tc>
          <w:tcPr>
            <w:tcW w:w="3419" w:type="dxa"/>
            <w:gridSpan w:val="2"/>
            <w:tcBorders>
              <w:top w:val="nil"/>
              <w:bottom w:val="nil"/>
            </w:tcBorders>
          </w:tcPr>
          <w:p>
            <w:pPr>
              <w:pStyle w:val="TableParagraph"/>
              <w:rPr>
                <w:rFonts w:ascii="Times New Roman"/>
                <w:sz w:val="24"/>
              </w:rPr>
            </w:pPr>
          </w:p>
        </w:tc>
      </w:tr>
      <w:tr>
        <w:trPr>
          <w:trHeight w:val="330" w:hRule="atLeast"/>
        </w:trPr>
        <w:tc>
          <w:tcPr>
            <w:tcW w:w="5958" w:type="dxa"/>
            <w:tcBorders>
              <w:top w:val="nil"/>
              <w:bottom w:val="nil"/>
            </w:tcBorders>
          </w:tcPr>
          <w:p>
            <w:pPr>
              <w:pStyle w:val="TableParagraph"/>
              <w:spacing w:line="303" w:lineRule="exact" w:before="7"/>
              <w:ind w:left="107"/>
              <w:rPr>
                <w:sz w:val="28"/>
              </w:rPr>
            </w:pPr>
            <w:r>
              <w:rPr>
                <w:sz w:val="28"/>
              </w:rPr>
              <w:t>F</w:t>
            </w:r>
            <w:r>
              <w:rPr>
                <w:sz w:val="22"/>
              </w:rPr>
              <w:t>AX</w:t>
            </w:r>
            <w:r>
              <w:rPr>
                <w:sz w:val="28"/>
              </w:rPr>
              <w:t>:</w:t>
            </w:r>
          </w:p>
        </w:tc>
        <w:tc>
          <w:tcPr>
            <w:tcW w:w="3419" w:type="dxa"/>
            <w:gridSpan w:val="2"/>
            <w:tcBorders>
              <w:top w:val="nil"/>
              <w:bottom w:val="nil"/>
            </w:tcBorders>
          </w:tcPr>
          <w:p>
            <w:pPr>
              <w:pStyle w:val="TableParagraph"/>
              <w:rPr>
                <w:rFonts w:ascii="Times New Roman"/>
                <w:sz w:val="24"/>
              </w:rPr>
            </w:pPr>
          </w:p>
        </w:tc>
      </w:tr>
      <w:tr>
        <w:trPr>
          <w:trHeight w:val="543" w:hRule="atLeast"/>
        </w:trPr>
        <w:tc>
          <w:tcPr>
            <w:tcW w:w="5958" w:type="dxa"/>
            <w:tcBorders>
              <w:top w:val="nil"/>
              <w:bottom w:val="nil"/>
            </w:tcBorders>
          </w:tcPr>
          <w:p>
            <w:pPr>
              <w:pStyle w:val="TableParagraph"/>
              <w:spacing w:before="8"/>
              <w:ind w:left="107"/>
              <w:rPr>
                <w:sz w:val="28"/>
              </w:rPr>
            </w:pPr>
            <w:r>
              <w:rPr>
                <w:sz w:val="28"/>
              </w:rPr>
              <w:t>E</w:t>
            </w:r>
            <w:r>
              <w:rPr>
                <w:sz w:val="22"/>
              </w:rPr>
              <w:t>MAIL</w:t>
            </w:r>
            <w:r>
              <w:rPr>
                <w:sz w:val="28"/>
              </w:rPr>
              <w:t>: </w:t>
            </w:r>
            <w:hyperlink r:id="rId5">
              <w:r>
                <w:rPr>
                  <w:color w:val="0462C1"/>
                  <w:sz w:val="28"/>
                  <w:u w:val="single" w:color="0462C1"/>
                </w:rPr>
                <w:t>Patrick@MulliganBriet.com</w:t>
              </w:r>
            </w:hyperlink>
          </w:p>
        </w:tc>
        <w:tc>
          <w:tcPr>
            <w:tcW w:w="3419" w:type="dxa"/>
            <w:gridSpan w:val="2"/>
            <w:tcBorders>
              <w:top w:val="nil"/>
              <w:bottom w:val="nil"/>
            </w:tcBorders>
          </w:tcPr>
          <w:p>
            <w:pPr>
              <w:pStyle w:val="TableParagraph"/>
              <w:rPr>
                <w:rFonts w:ascii="Times New Roman"/>
                <w:sz w:val="26"/>
              </w:rPr>
            </w:pPr>
          </w:p>
        </w:tc>
      </w:tr>
      <w:tr>
        <w:trPr>
          <w:trHeight w:val="534" w:hRule="atLeast"/>
        </w:trPr>
        <w:tc>
          <w:tcPr>
            <w:tcW w:w="5958" w:type="dxa"/>
            <w:tcBorders>
              <w:top w:val="nil"/>
              <w:bottom w:val="nil"/>
            </w:tcBorders>
          </w:tcPr>
          <w:p>
            <w:pPr>
              <w:pStyle w:val="TableParagraph"/>
              <w:spacing w:line="293" w:lineRule="exact" w:before="221"/>
              <w:ind w:left="107"/>
              <w:rPr>
                <w:sz w:val="28"/>
              </w:rPr>
            </w:pPr>
            <w:r>
              <w:rPr>
                <w:sz w:val="28"/>
              </w:rPr>
              <w:t>THE LAW OFFICE OF JENNIFER E.</w:t>
            </w:r>
          </w:p>
        </w:tc>
        <w:tc>
          <w:tcPr>
            <w:tcW w:w="3419" w:type="dxa"/>
            <w:gridSpan w:val="2"/>
            <w:tcBorders>
              <w:top w:val="nil"/>
              <w:bottom w:val="nil"/>
            </w:tcBorders>
          </w:tcPr>
          <w:p>
            <w:pPr>
              <w:pStyle w:val="TableParagraph"/>
              <w:rPr>
                <w:rFonts w:ascii="Times New Roman"/>
                <w:sz w:val="26"/>
              </w:rPr>
            </w:pPr>
          </w:p>
        </w:tc>
      </w:tr>
      <w:tr>
        <w:trPr>
          <w:trHeight w:val="307" w:hRule="atLeast"/>
        </w:trPr>
        <w:tc>
          <w:tcPr>
            <w:tcW w:w="5958" w:type="dxa"/>
            <w:tcBorders>
              <w:top w:val="nil"/>
              <w:bottom w:val="nil"/>
            </w:tcBorders>
          </w:tcPr>
          <w:p>
            <w:pPr>
              <w:pStyle w:val="TableParagraph"/>
              <w:spacing w:line="287" w:lineRule="exact"/>
              <w:ind w:left="107"/>
              <w:rPr>
                <w:sz w:val="28"/>
              </w:rPr>
            </w:pPr>
            <w:r>
              <w:rPr>
                <w:sz w:val="28"/>
              </w:rPr>
              <w:t>LONGTIN, LLC</w:t>
            </w:r>
          </w:p>
        </w:tc>
        <w:tc>
          <w:tcPr>
            <w:tcW w:w="3419" w:type="dxa"/>
            <w:gridSpan w:val="2"/>
            <w:tcBorders>
              <w:top w:val="nil"/>
              <w:bottom w:val="nil"/>
            </w:tcBorders>
          </w:tcPr>
          <w:p>
            <w:pPr>
              <w:pStyle w:val="TableParagraph"/>
              <w:rPr>
                <w:rFonts w:ascii="Times New Roman"/>
                <w:sz w:val="22"/>
              </w:rPr>
            </w:pPr>
          </w:p>
        </w:tc>
      </w:tr>
      <w:tr>
        <w:trPr>
          <w:trHeight w:val="332" w:hRule="atLeast"/>
        </w:trPr>
        <w:tc>
          <w:tcPr>
            <w:tcW w:w="5958" w:type="dxa"/>
            <w:tcBorders>
              <w:top w:val="nil"/>
              <w:bottom w:val="nil"/>
            </w:tcBorders>
          </w:tcPr>
          <w:p>
            <w:pPr>
              <w:pStyle w:val="TableParagraph"/>
              <w:spacing w:line="309" w:lineRule="exact"/>
              <w:ind w:left="107"/>
              <w:rPr>
                <w:sz w:val="28"/>
              </w:rPr>
            </w:pPr>
            <w:r>
              <w:rPr>
                <w:sz w:val="28"/>
              </w:rPr>
              <w:t>Jennifer E. Longtin, #43509</w:t>
            </w:r>
          </w:p>
        </w:tc>
        <w:tc>
          <w:tcPr>
            <w:tcW w:w="3419" w:type="dxa"/>
            <w:gridSpan w:val="2"/>
            <w:tcBorders>
              <w:top w:val="nil"/>
              <w:bottom w:val="nil"/>
            </w:tcBorders>
          </w:tcPr>
          <w:p>
            <w:pPr>
              <w:pStyle w:val="TableParagraph"/>
              <w:rPr>
                <w:rFonts w:ascii="Times New Roman"/>
                <w:sz w:val="24"/>
              </w:rPr>
            </w:pPr>
          </w:p>
        </w:tc>
      </w:tr>
      <w:tr>
        <w:trPr>
          <w:trHeight w:val="658" w:hRule="atLeast"/>
        </w:trPr>
        <w:tc>
          <w:tcPr>
            <w:tcW w:w="5958" w:type="dxa"/>
            <w:tcBorders>
              <w:top w:val="nil"/>
              <w:bottom w:val="nil"/>
            </w:tcBorders>
          </w:tcPr>
          <w:p>
            <w:pPr>
              <w:pStyle w:val="TableParagraph"/>
              <w:spacing w:before="24"/>
              <w:ind w:left="107"/>
              <w:rPr>
                <w:sz w:val="28"/>
              </w:rPr>
            </w:pPr>
            <w:r>
              <w:rPr>
                <w:sz w:val="28"/>
              </w:rPr>
              <w:t>2401 S. Downing St.</w:t>
            </w:r>
          </w:p>
          <w:p>
            <w:pPr>
              <w:pStyle w:val="TableParagraph"/>
              <w:spacing w:line="272" w:lineRule="exact" w:before="28"/>
              <w:ind w:left="107"/>
              <w:rPr>
                <w:sz w:val="28"/>
              </w:rPr>
            </w:pPr>
            <w:r>
              <w:rPr>
                <w:sz w:val="28"/>
              </w:rPr>
              <w:t>Denver, CO 80201</w:t>
            </w:r>
          </w:p>
        </w:tc>
        <w:tc>
          <w:tcPr>
            <w:tcW w:w="3419" w:type="dxa"/>
            <w:gridSpan w:val="2"/>
            <w:tcBorders>
              <w:top w:val="nil"/>
              <w:bottom w:val="nil"/>
            </w:tcBorders>
          </w:tcPr>
          <w:p>
            <w:pPr>
              <w:pStyle w:val="TableParagraph"/>
              <w:spacing w:before="276"/>
              <w:ind w:left="107"/>
              <w:rPr>
                <w:sz w:val="28"/>
              </w:rPr>
            </w:pPr>
            <w:r>
              <w:rPr>
                <w:sz w:val="28"/>
              </w:rPr>
              <w:t>Division: 12</w:t>
            </w:r>
          </w:p>
        </w:tc>
      </w:tr>
      <w:tr>
        <w:trPr>
          <w:trHeight w:val="268" w:hRule="atLeast"/>
        </w:trPr>
        <w:tc>
          <w:tcPr>
            <w:tcW w:w="5958" w:type="dxa"/>
            <w:tcBorders>
              <w:top w:val="nil"/>
              <w:bottom w:val="nil"/>
            </w:tcBorders>
          </w:tcPr>
          <w:p>
            <w:pPr>
              <w:pStyle w:val="TableParagraph"/>
              <w:spacing w:line="249" w:lineRule="exact"/>
              <w:ind w:left="107"/>
              <w:rPr>
                <w:sz w:val="28"/>
              </w:rPr>
            </w:pPr>
            <w:r>
              <w:rPr>
                <w:sz w:val="28"/>
              </w:rPr>
              <w:t>Ph. 303.747.6898</w:t>
            </w:r>
          </w:p>
        </w:tc>
        <w:tc>
          <w:tcPr>
            <w:tcW w:w="3419" w:type="dxa"/>
            <w:gridSpan w:val="2"/>
            <w:tcBorders>
              <w:top w:val="nil"/>
              <w:bottom w:val="nil"/>
            </w:tcBorders>
          </w:tcPr>
          <w:p>
            <w:pPr>
              <w:pStyle w:val="TableParagraph"/>
              <w:rPr>
                <w:rFonts w:ascii="Times New Roman"/>
                <w:sz w:val="18"/>
              </w:rPr>
            </w:pPr>
          </w:p>
        </w:tc>
      </w:tr>
      <w:tr>
        <w:trPr>
          <w:trHeight w:val="268" w:hRule="atLeast"/>
        </w:trPr>
        <w:tc>
          <w:tcPr>
            <w:tcW w:w="5958" w:type="dxa"/>
            <w:tcBorders>
              <w:top w:val="nil"/>
              <w:bottom w:val="nil"/>
            </w:tcBorders>
          </w:tcPr>
          <w:p>
            <w:pPr>
              <w:pStyle w:val="TableParagraph"/>
              <w:spacing w:line="249" w:lineRule="exact"/>
              <w:ind w:left="107"/>
              <w:rPr>
                <w:sz w:val="28"/>
              </w:rPr>
            </w:pPr>
            <w:r>
              <w:rPr>
                <w:sz w:val="28"/>
              </w:rPr>
              <w:t>Fax. 800.243.2691</w:t>
            </w:r>
          </w:p>
        </w:tc>
        <w:tc>
          <w:tcPr>
            <w:tcW w:w="3419" w:type="dxa"/>
            <w:gridSpan w:val="2"/>
            <w:tcBorders>
              <w:top w:val="nil"/>
              <w:bottom w:val="nil"/>
            </w:tcBorders>
          </w:tcPr>
          <w:p>
            <w:pPr>
              <w:pStyle w:val="TableParagraph"/>
              <w:rPr>
                <w:rFonts w:ascii="Times New Roman"/>
                <w:sz w:val="18"/>
              </w:rPr>
            </w:pPr>
          </w:p>
        </w:tc>
      </w:tr>
      <w:tr>
        <w:trPr>
          <w:trHeight w:val="271" w:hRule="atLeast"/>
        </w:trPr>
        <w:tc>
          <w:tcPr>
            <w:tcW w:w="5958" w:type="dxa"/>
            <w:tcBorders>
              <w:top w:val="nil"/>
            </w:tcBorders>
          </w:tcPr>
          <w:p>
            <w:pPr>
              <w:pStyle w:val="TableParagraph"/>
              <w:spacing w:line="251" w:lineRule="exact"/>
              <w:ind w:left="107"/>
              <w:rPr>
                <w:sz w:val="28"/>
              </w:rPr>
            </w:pPr>
            <w:hyperlink r:id="rId6">
              <w:r>
                <w:rPr>
                  <w:sz w:val="28"/>
                </w:rPr>
                <w:t>Jen@jlongtinlaw.com</w:t>
              </w:r>
            </w:hyperlink>
          </w:p>
        </w:tc>
        <w:tc>
          <w:tcPr>
            <w:tcW w:w="3419" w:type="dxa"/>
            <w:gridSpan w:val="2"/>
            <w:tcBorders>
              <w:top w:val="nil"/>
            </w:tcBorders>
          </w:tcPr>
          <w:p>
            <w:pPr>
              <w:pStyle w:val="TableParagraph"/>
              <w:rPr>
                <w:rFonts w:ascii="Times New Roman"/>
                <w:sz w:val="20"/>
              </w:rPr>
            </w:pPr>
          </w:p>
        </w:tc>
      </w:tr>
      <w:tr>
        <w:trPr>
          <w:trHeight w:val="661" w:hRule="atLeast"/>
        </w:trPr>
        <w:tc>
          <w:tcPr>
            <w:tcW w:w="9377" w:type="dxa"/>
            <w:gridSpan w:val="3"/>
          </w:tcPr>
          <w:p>
            <w:pPr>
              <w:pStyle w:val="TableParagraph"/>
              <w:spacing w:line="311" w:lineRule="exact"/>
              <w:ind w:left="834" w:right="828"/>
              <w:jc w:val="center"/>
              <w:rPr>
                <w:b/>
                <w:sz w:val="28"/>
              </w:rPr>
            </w:pPr>
            <w:r>
              <w:rPr>
                <w:b/>
                <w:sz w:val="28"/>
              </w:rPr>
              <w:t>MOTION TO SUPPRESS SEARCH OF CELL PHONES AND</w:t>
            </w:r>
          </w:p>
          <w:p>
            <w:pPr>
              <w:pStyle w:val="TableParagraph"/>
              <w:spacing w:line="315" w:lineRule="exact" w:before="16"/>
              <w:ind w:left="833" w:right="828"/>
              <w:jc w:val="center"/>
              <w:rPr>
                <w:b/>
                <w:sz w:val="28"/>
              </w:rPr>
            </w:pPr>
            <w:r>
              <w:rPr>
                <w:b/>
                <w:sz w:val="28"/>
              </w:rPr>
              <w:t>COMPUTERS</w:t>
            </w:r>
          </w:p>
        </w:tc>
      </w:tr>
    </w:tbl>
    <w:p>
      <w:pPr>
        <w:pStyle w:val="BodyText"/>
        <w:spacing w:line="480" w:lineRule="auto"/>
        <w:ind w:right="358" w:firstLine="789"/>
        <w:jc w:val="both"/>
      </w:pPr>
      <w:r>
        <w:rPr/>
        <w:t>Mr. Nickal, by and through counsel, requests this Court to suppress evidence gained through the illegal search and seizure of Gary and Molly Nickal’s cell phones. In support of this motion, Mr. Nickal states the following:</w:t>
      </w:r>
    </w:p>
    <w:p>
      <w:pPr>
        <w:pStyle w:val="Heading1"/>
        <w:ind w:left="3890" w:right="3649"/>
        <w:jc w:val="center"/>
      </w:pPr>
      <w:r>
        <w:rPr/>
        <w:t>FACTS</w:t>
      </w:r>
    </w:p>
    <w:p>
      <w:pPr>
        <w:pStyle w:val="BodyText"/>
        <w:spacing w:before="10"/>
        <w:ind w:left="0"/>
        <w:rPr>
          <w:b/>
          <w:sz w:val="27"/>
        </w:rPr>
      </w:pPr>
    </w:p>
    <w:p>
      <w:pPr>
        <w:pStyle w:val="ListParagraph"/>
        <w:numPr>
          <w:ilvl w:val="0"/>
          <w:numId w:val="1"/>
        </w:numPr>
        <w:tabs>
          <w:tab w:pos="1820" w:val="left" w:leader="none"/>
          <w:tab w:pos="1821" w:val="left" w:leader="none"/>
        </w:tabs>
        <w:spacing w:line="240" w:lineRule="auto" w:before="0" w:after="0"/>
        <w:ind w:left="1820" w:right="0" w:hanging="720"/>
        <w:jc w:val="left"/>
        <w:rPr>
          <w:sz w:val="28"/>
        </w:rPr>
      </w:pPr>
      <w:r>
        <w:rPr>
          <w:sz w:val="28"/>
        </w:rPr>
        <w:t>On</w:t>
      </w:r>
      <w:r>
        <w:rPr>
          <w:spacing w:val="-7"/>
          <w:sz w:val="28"/>
        </w:rPr>
        <w:t> </w:t>
      </w:r>
      <w:r>
        <w:rPr>
          <w:sz w:val="28"/>
        </w:rPr>
        <w:t>April</w:t>
      </w:r>
      <w:r>
        <w:rPr>
          <w:spacing w:val="-6"/>
          <w:sz w:val="28"/>
        </w:rPr>
        <w:t> </w:t>
      </w:r>
      <w:r>
        <w:rPr>
          <w:sz w:val="28"/>
        </w:rPr>
        <w:t>28,</w:t>
      </w:r>
      <w:r>
        <w:rPr>
          <w:spacing w:val="-8"/>
          <w:sz w:val="28"/>
        </w:rPr>
        <w:t> </w:t>
      </w:r>
      <w:r>
        <w:rPr>
          <w:sz w:val="28"/>
        </w:rPr>
        <w:t>2017,</w:t>
      </w:r>
      <w:r>
        <w:rPr>
          <w:spacing w:val="-8"/>
          <w:sz w:val="28"/>
        </w:rPr>
        <w:t> </w:t>
      </w:r>
      <w:r>
        <w:rPr>
          <w:sz w:val="28"/>
        </w:rPr>
        <w:t>police</w:t>
      </w:r>
      <w:r>
        <w:rPr>
          <w:spacing w:val="-6"/>
          <w:sz w:val="28"/>
        </w:rPr>
        <w:t> </w:t>
      </w:r>
      <w:r>
        <w:rPr>
          <w:sz w:val="28"/>
        </w:rPr>
        <w:t>responded</w:t>
      </w:r>
      <w:r>
        <w:rPr>
          <w:spacing w:val="-7"/>
          <w:sz w:val="28"/>
        </w:rPr>
        <w:t> </w:t>
      </w:r>
      <w:r>
        <w:rPr>
          <w:sz w:val="28"/>
        </w:rPr>
        <w:t>to</w:t>
      </w:r>
      <w:r>
        <w:rPr>
          <w:spacing w:val="-8"/>
          <w:sz w:val="28"/>
        </w:rPr>
        <w:t> </w:t>
      </w:r>
      <w:r>
        <w:rPr>
          <w:sz w:val="28"/>
        </w:rPr>
        <w:t>a</w:t>
      </w:r>
      <w:r>
        <w:rPr>
          <w:spacing w:val="-8"/>
          <w:sz w:val="28"/>
        </w:rPr>
        <w:t> </w:t>
      </w:r>
      <w:r>
        <w:rPr>
          <w:sz w:val="28"/>
        </w:rPr>
        <w:t>call</w:t>
      </w:r>
      <w:r>
        <w:rPr>
          <w:spacing w:val="-9"/>
          <w:sz w:val="28"/>
        </w:rPr>
        <w:t> </w:t>
      </w:r>
      <w:r>
        <w:rPr>
          <w:sz w:val="28"/>
        </w:rPr>
        <w:t>of</w:t>
      </w:r>
      <w:r>
        <w:rPr>
          <w:spacing w:val="-8"/>
          <w:sz w:val="28"/>
        </w:rPr>
        <w:t> </w:t>
      </w:r>
      <w:r>
        <w:rPr>
          <w:sz w:val="28"/>
        </w:rPr>
        <w:t>an</w:t>
      </w:r>
      <w:r>
        <w:rPr>
          <w:spacing w:val="-8"/>
          <w:sz w:val="28"/>
        </w:rPr>
        <w:t> </w:t>
      </w:r>
      <w:r>
        <w:rPr>
          <w:sz w:val="28"/>
        </w:rPr>
        <w:t>apparent</w:t>
      </w:r>
      <w:r>
        <w:rPr>
          <w:spacing w:val="-6"/>
          <w:sz w:val="28"/>
        </w:rPr>
        <w:t> </w:t>
      </w:r>
      <w:r>
        <w:rPr>
          <w:sz w:val="28"/>
        </w:rPr>
        <w:t>suicide</w:t>
      </w:r>
      <w:r>
        <w:rPr>
          <w:spacing w:val="-9"/>
          <w:sz w:val="28"/>
        </w:rPr>
        <w:t> </w:t>
      </w:r>
      <w:r>
        <w:rPr>
          <w:sz w:val="28"/>
        </w:rPr>
        <w:t>at</w:t>
      </w:r>
      <w:r>
        <w:rPr>
          <w:spacing w:val="-7"/>
          <w:sz w:val="28"/>
        </w:rPr>
        <w:t> </w:t>
      </w:r>
      <w:r>
        <w:rPr>
          <w:sz w:val="28"/>
        </w:rPr>
        <w:t>the</w:t>
      </w:r>
    </w:p>
    <w:p>
      <w:pPr>
        <w:spacing w:after="0" w:line="240" w:lineRule="auto"/>
        <w:jc w:val="left"/>
        <w:rPr>
          <w:sz w:val="28"/>
        </w:rPr>
        <w:sectPr>
          <w:type w:val="continuous"/>
          <w:pgSz w:w="12240" w:h="15840"/>
          <w:pgMar w:top="1440" w:bottom="280" w:left="1060" w:right="1300"/>
        </w:sectPr>
      </w:pPr>
    </w:p>
    <w:p>
      <w:pPr>
        <w:pStyle w:val="BodyText"/>
        <w:spacing w:line="480" w:lineRule="auto" w:before="79"/>
      </w:pPr>
      <w:r>
        <w:rPr/>
        <w:t>home</w:t>
      </w:r>
      <w:r>
        <w:rPr>
          <w:spacing w:val="-9"/>
        </w:rPr>
        <w:t> </w:t>
      </w:r>
      <w:r>
        <w:rPr/>
        <w:t>of</w:t>
      </w:r>
      <w:r>
        <w:rPr>
          <w:spacing w:val="-7"/>
        </w:rPr>
        <w:t> </w:t>
      </w:r>
      <w:r>
        <w:rPr/>
        <w:t>Gary</w:t>
      </w:r>
      <w:r>
        <w:rPr>
          <w:spacing w:val="-8"/>
        </w:rPr>
        <w:t> </w:t>
      </w:r>
      <w:r>
        <w:rPr/>
        <w:t>Nickal.</w:t>
      </w:r>
      <w:r>
        <w:rPr>
          <w:spacing w:val="-10"/>
        </w:rPr>
        <w:t> </w:t>
      </w:r>
      <w:r>
        <w:rPr/>
        <w:t>When</w:t>
      </w:r>
      <w:r>
        <w:rPr>
          <w:spacing w:val="-10"/>
        </w:rPr>
        <w:t> </w:t>
      </w:r>
      <w:r>
        <w:rPr/>
        <w:t>police</w:t>
      </w:r>
      <w:r>
        <w:rPr>
          <w:spacing w:val="-11"/>
        </w:rPr>
        <w:t> </w:t>
      </w:r>
      <w:r>
        <w:rPr/>
        <w:t>arrived,</w:t>
      </w:r>
      <w:r>
        <w:rPr>
          <w:spacing w:val="-13"/>
        </w:rPr>
        <w:t> </w:t>
      </w:r>
      <w:r>
        <w:rPr/>
        <w:t>they</w:t>
      </w:r>
      <w:r>
        <w:rPr>
          <w:spacing w:val="-9"/>
        </w:rPr>
        <w:t> </w:t>
      </w:r>
      <w:r>
        <w:rPr/>
        <w:t>found</w:t>
      </w:r>
      <w:r>
        <w:rPr>
          <w:spacing w:val="-10"/>
        </w:rPr>
        <w:t> </w:t>
      </w:r>
      <w:r>
        <w:rPr/>
        <w:t>Molly</w:t>
      </w:r>
      <w:r>
        <w:rPr>
          <w:spacing w:val="-11"/>
        </w:rPr>
        <w:t> </w:t>
      </w:r>
      <w:r>
        <w:rPr/>
        <w:t>Nickal,</w:t>
      </w:r>
      <w:r>
        <w:rPr>
          <w:spacing w:val="-10"/>
        </w:rPr>
        <w:t> </w:t>
      </w:r>
      <w:r>
        <w:rPr/>
        <w:t>Mr.</w:t>
      </w:r>
      <w:r>
        <w:rPr>
          <w:spacing w:val="-10"/>
        </w:rPr>
        <w:t> </w:t>
      </w:r>
      <w:r>
        <w:rPr/>
        <w:t>Nickal’s</w:t>
      </w:r>
      <w:r>
        <w:rPr>
          <w:spacing w:val="-11"/>
        </w:rPr>
        <w:t> </w:t>
      </w:r>
      <w:r>
        <w:rPr/>
        <w:t>wife, deceased. The apparent cause of death was a shotgun blast to the</w:t>
      </w:r>
      <w:r>
        <w:rPr>
          <w:spacing w:val="-16"/>
        </w:rPr>
        <w:t> </w:t>
      </w:r>
      <w:r>
        <w:rPr/>
        <w:t>head.</w:t>
      </w:r>
    </w:p>
    <w:p>
      <w:pPr>
        <w:pStyle w:val="ListParagraph"/>
        <w:numPr>
          <w:ilvl w:val="0"/>
          <w:numId w:val="1"/>
        </w:numPr>
        <w:tabs>
          <w:tab w:pos="1821" w:val="left" w:leader="none"/>
        </w:tabs>
        <w:spacing w:line="480" w:lineRule="auto" w:before="0" w:after="0"/>
        <w:ind w:left="380" w:right="134" w:firstLine="720"/>
        <w:jc w:val="both"/>
        <w:rPr>
          <w:sz w:val="28"/>
        </w:rPr>
      </w:pPr>
      <w:r>
        <w:rPr>
          <w:sz w:val="28"/>
        </w:rPr>
        <w:t>When police entered the home, they spoke with Mr. Nickal, and made observations regarding the home and Mrs. Nickal. Police noted that Mr. Nickal picked up his phone while police searched the home. Officers did not ask Mr. Nickal why he picked up his phone and there is no indication that Mr. Nickal used the phone in any non-permissible or nefarious manner. One officer, however, believed that Mr. Nickal “appeared to be sending a text message.” There is no evidence for this</w:t>
      </w:r>
      <w:r>
        <w:rPr>
          <w:spacing w:val="-19"/>
          <w:sz w:val="28"/>
        </w:rPr>
        <w:t> </w:t>
      </w:r>
      <w:r>
        <w:rPr>
          <w:sz w:val="28"/>
        </w:rPr>
        <w:t>belief.</w:t>
      </w:r>
    </w:p>
    <w:p>
      <w:pPr>
        <w:pStyle w:val="ListParagraph"/>
        <w:numPr>
          <w:ilvl w:val="0"/>
          <w:numId w:val="1"/>
        </w:numPr>
        <w:tabs>
          <w:tab w:pos="1820" w:val="left" w:leader="none"/>
          <w:tab w:pos="1821" w:val="left" w:leader="none"/>
        </w:tabs>
        <w:spacing w:line="480" w:lineRule="auto" w:before="0" w:after="0"/>
        <w:ind w:left="380" w:right="206" w:firstLine="720"/>
        <w:jc w:val="left"/>
        <w:rPr>
          <w:sz w:val="28"/>
        </w:rPr>
      </w:pPr>
      <w:r>
        <w:rPr>
          <w:sz w:val="28"/>
        </w:rPr>
        <w:t>That same day, officer Michael Lynch signed an affidavit in support of a search warrant. Listed in that warrant was a request to seize and search any cell phone found in the home, as well as any computer. The only mention of a cell phone in the affidavit in support of the warrant is the reference to Mr. Nickal picking up his phone while police were in his home. There is no mention of any</w:t>
      </w:r>
      <w:r>
        <w:rPr>
          <w:spacing w:val="-8"/>
          <w:sz w:val="28"/>
        </w:rPr>
        <w:t> </w:t>
      </w:r>
      <w:r>
        <w:rPr>
          <w:sz w:val="28"/>
        </w:rPr>
        <w:t>computer.</w:t>
      </w:r>
    </w:p>
    <w:p>
      <w:pPr>
        <w:pStyle w:val="Heading1"/>
        <w:spacing w:before="2"/>
        <w:ind w:left="4753"/>
      </w:pPr>
      <w:r>
        <w:rPr/>
        <w:t>LAW</w:t>
      </w:r>
    </w:p>
    <w:p>
      <w:pPr>
        <w:pStyle w:val="BodyText"/>
        <w:spacing w:before="10"/>
        <w:ind w:left="0"/>
        <w:rPr>
          <w:b/>
          <w:sz w:val="27"/>
        </w:rPr>
      </w:pPr>
    </w:p>
    <w:p>
      <w:pPr>
        <w:pStyle w:val="ListParagraph"/>
        <w:numPr>
          <w:ilvl w:val="0"/>
          <w:numId w:val="1"/>
        </w:numPr>
        <w:tabs>
          <w:tab w:pos="1820" w:val="left" w:leader="none"/>
          <w:tab w:pos="1821" w:val="left" w:leader="none"/>
        </w:tabs>
        <w:spacing w:line="480" w:lineRule="auto" w:before="0" w:after="0"/>
        <w:ind w:left="380" w:right="257" w:firstLine="720"/>
        <w:jc w:val="left"/>
        <w:rPr>
          <w:sz w:val="28"/>
        </w:rPr>
      </w:pPr>
      <w:r>
        <w:rPr>
          <w:sz w:val="28"/>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U.S. CONST. Amend IV; see also: COLO. CONST. Art. 2, Sec. 7 (“The people shall be secure in their persons, papers, homes and effects, from</w:t>
      </w:r>
      <w:r>
        <w:rPr>
          <w:spacing w:val="-33"/>
          <w:sz w:val="28"/>
        </w:rPr>
        <w:t> </w:t>
      </w:r>
      <w:r>
        <w:rPr>
          <w:sz w:val="28"/>
        </w:rPr>
        <w:t>unreasonable searches and seizures; and no warrant to search any place or seize any person</w:t>
      </w:r>
      <w:r>
        <w:rPr>
          <w:spacing w:val="-18"/>
          <w:sz w:val="28"/>
        </w:rPr>
        <w:t> </w:t>
      </w:r>
      <w:r>
        <w:rPr>
          <w:sz w:val="28"/>
        </w:rPr>
        <w:t>or</w:t>
      </w:r>
    </w:p>
    <w:p>
      <w:pPr>
        <w:spacing w:after="0" w:line="480" w:lineRule="auto"/>
        <w:jc w:val="left"/>
        <w:rPr>
          <w:sz w:val="28"/>
        </w:rPr>
        <w:sectPr>
          <w:pgSz w:w="12240" w:h="15840"/>
          <w:pgMar w:top="1360" w:bottom="280" w:left="1060" w:right="1300"/>
        </w:sectPr>
      </w:pPr>
    </w:p>
    <w:p>
      <w:pPr>
        <w:pStyle w:val="BodyText"/>
        <w:spacing w:line="480" w:lineRule="auto" w:before="79"/>
        <w:ind w:right="208"/>
      </w:pPr>
      <w:r>
        <w:rPr/>
        <w:t>things shall issue without describing the place to be searched, or the person or thing to be seized, as near as may be, nor without probable cause, supported by oath or</w:t>
      </w:r>
    </w:p>
    <w:p>
      <w:pPr>
        <w:pStyle w:val="BodyText"/>
      </w:pPr>
      <w:r>
        <w:rPr/>
        <w:t>affirmation reduced to writing.”).</w:t>
      </w:r>
    </w:p>
    <w:p>
      <w:pPr>
        <w:pStyle w:val="BodyText"/>
        <w:spacing w:before="1"/>
        <w:ind w:left="0"/>
      </w:pPr>
    </w:p>
    <w:p>
      <w:pPr>
        <w:pStyle w:val="ListParagraph"/>
        <w:numPr>
          <w:ilvl w:val="0"/>
          <w:numId w:val="1"/>
        </w:numPr>
        <w:tabs>
          <w:tab w:pos="1820" w:val="left" w:leader="none"/>
          <w:tab w:pos="1821" w:val="left" w:leader="none"/>
        </w:tabs>
        <w:spacing w:line="480" w:lineRule="auto" w:before="0" w:after="0"/>
        <w:ind w:left="380" w:right="183" w:firstLine="720"/>
        <w:jc w:val="left"/>
        <w:rPr>
          <w:i/>
          <w:sz w:val="28"/>
        </w:rPr>
      </w:pPr>
      <w:r>
        <w:rPr>
          <w:sz w:val="28"/>
        </w:rPr>
        <w:t>To establish probable cause, the affiant to a search warrant must</w:t>
      </w:r>
      <w:r>
        <w:rPr>
          <w:spacing w:val="-31"/>
          <w:sz w:val="28"/>
        </w:rPr>
        <w:t> </w:t>
      </w:r>
      <w:r>
        <w:rPr>
          <w:sz w:val="28"/>
        </w:rPr>
        <w:t>provide more than just a signed statement and a belief that the information received is credible. </w:t>
      </w:r>
      <w:r>
        <w:rPr>
          <w:i/>
          <w:sz w:val="28"/>
        </w:rPr>
        <w:t>Illinois v. Gates</w:t>
      </w:r>
      <w:r>
        <w:rPr>
          <w:sz w:val="28"/>
        </w:rPr>
        <w:t>, 462 U.S. 213, 239 (1983). The affiant must demonstrate, through the totality of the circumstances, that there was probable cause to believe a crime has been committed, and that there is probable cause to believe that there is evidence of a crime at the location described in the warrant.</w:t>
      </w:r>
      <w:r>
        <w:rPr>
          <w:spacing w:val="-13"/>
          <w:sz w:val="28"/>
        </w:rPr>
        <w:t> </w:t>
      </w:r>
      <w:r>
        <w:rPr>
          <w:i/>
          <w:sz w:val="28"/>
        </w:rPr>
        <w:t>Id.</w:t>
      </w:r>
    </w:p>
    <w:p>
      <w:pPr>
        <w:pStyle w:val="ListParagraph"/>
        <w:numPr>
          <w:ilvl w:val="0"/>
          <w:numId w:val="1"/>
        </w:numPr>
        <w:tabs>
          <w:tab w:pos="1820" w:val="left" w:leader="none"/>
          <w:tab w:pos="1821" w:val="left" w:leader="none"/>
        </w:tabs>
        <w:spacing w:line="480" w:lineRule="auto" w:before="1" w:after="0"/>
        <w:ind w:left="380" w:right="313" w:firstLine="720"/>
        <w:jc w:val="left"/>
        <w:rPr>
          <w:sz w:val="28"/>
        </w:rPr>
      </w:pPr>
      <w:r>
        <w:rPr>
          <w:sz w:val="28"/>
        </w:rPr>
        <w:t>Courts must remain vigilant in their review of warrants in order to ensure that the issuance of the warrant is predicated on probable cause to believe </w:t>
      </w:r>
      <w:r>
        <w:rPr>
          <w:spacing w:val="-2"/>
          <w:sz w:val="28"/>
        </w:rPr>
        <w:t>the </w:t>
      </w:r>
      <w:r>
        <w:rPr>
          <w:sz w:val="28"/>
        </w:rPr>
        <w:t>items listed to be searched or seized are contraband or evidence of a crime; rather than simply the unfounded suspicions of the affiant or another officer. </w:t>
      </w:r>
      <w:r>
        <w:rPr>
          <w:i/>
          <w:sz w:val="28"/>
        </w:rPr>
        <w:t>Id. </w:t>
      </w:r>
      <w:r>
        <w:rPr>
          <w:sz w:val="28"/>
        </w:rPr>
        <w:t>at 239; </w:t>
      </w:r>
      <w:r>
        <w:rPr>
          <w:i/>
          <w:sz w:val="28"/>
        </w:rPr>
        <w:t>see </w:t>
      </w:r>
      <w:r>
        <w:rPr>
          <w:i/>
          <w:sz w:val="28"/>
        </w:rPr>
        <w:t>also People v. Dailey</w:t>
      </w:r>
      <w:r>
        <w:rPr>
          <w:sz w:val="28"/>
        </w:rPr>
        <w:t>, 639 P.2d 1068 (Colo.</w:t>
      </w:r>
      <w:r>
        <w:rPr>
          <w:spacing w:val="-5"/>
          <w:sz w:val="28"/>
        </w:rPr>
        <w:t> </w:t>
      </w:r>
      <w:r>
        <w:rPr>
          <w:sz w:val="28"/>
        </w:rPr>
        <w:t>1982).</w:t>
      </w:r>
    </w:p>
    <w:p>
      <w:pPr>
        <w:pStyle w:val="ListParagraph"/>
        <w:numPr>
          <w:ilvl w:val="0"/>
          <w:numId w:val="1"/>
        </w:numPr>
        <w:tabs>
          <w:tab w:pos="1820" w:val="left" w:leader="none"/>
          <w:tab w:pos="1821" w:val="left" w:leader="none"/>
        </w:tabs>
        <w:spacing w:line="314" w:lineRule="exact" w:before="0" w:after="0"/>
        <w:ind w:left="1820" w:right="0" w:hanging="720"/>
        <w:jc w:val="left"/>
        <w:rPr>
          <w:sz w:val="28"/>
        </w:rPr>
      </w:pPr>
      <w:r>
        <w:rPr>
          <w:sz w:val="28"/>
        </w:rPr>
        <w:t>In </w:t>
      </w:r>
      <w:r>
        <w:rPr>
          <w:i/>
          <w:sz w:val="28"/>
        </w:rPr>
        <w:t>United States v. Leon</w:t>
      </w:r>
      <w:r>
        <w:rPr>
          <w:sz w:val="28"/>
        </w:rPr>
        <w:t>, 468 U.S. 897 (1984), the Supreme</w:t>
      </w:r>
      <w:r>
        <w:rPr>
          <w:spacing w:val="-9"/>
          <w:sz w:val="28"/>
        </w:rPr>
        <w:t> </w:t>
      </w:r>
      <w:r>
        <w:rPr>
          <w:sz w:val="28"/>
        </w:rPr>
        <w:t>Court</w:t>
      </w:r>
    </w:p>
    <w:p>
      <w:pPr>
        <w:pStyle w:val="BodyText"/>
        <w:spacing w:before="1"/>
        <w:ind w:left="0"/>
      </w:pPr>
    </w:p>
    <w:p>
      <w:pPr>
        <w:pStyle w:val="BodyText"/>
        <w:spacing w:line="480" w:lineRule="auto"/>
        <w:ind w:right="147"/>
      </w:pPr>
      <w:r>
        <w:rPr/>
        <w:t>announced a “good faith” exception to the warrant requirement: when an officer acts in objectively reasonable reliance upon a magistrate’s determination of probable cause, the fact that the warrant did not issue upon probable cause will not trigger the exclusionary rule.  The government bears the burden of proving objectively reasonable reliance, and that the officer(s) obtained the warrant in good faith. </w:t>
      </w:r>
      <w:r>
        <w:rPr>
          <w:i/>
        </w:rPr>
        <w:t>Id.; </w:t>
      </w:r>
      <w:r>
        <w:rPr>
          <w:i/>
        </w:rPr>
        <w:t>People v. Gutierrez</w:t>
      </w:r>
      <w:r>
        <w:rPr/>
        <w:t>, 222 P.3d 925 (Colo.</w:t>
      </w:r>
      <w:r>
        <w:rPr>
          <w:spacing w:val="-5"/>
        </w:rPr>
        <w:t> </w:t>
      </w:r>
      <w:r>
        <w:rPr/>
        <w:t>2009).</w:t>
      </w:r>
    </w:p>
    <w:p>
      <w:pPr>
        <w:spacing w:after="0" w:line="480" w:lineRule="auto"/>
        <w:sectPr>
          <w:pgSz w:w="12240" w:h="15840"/>
          <w:pgMar w:top="1360" w:bottom="280" w:left="1060" w:right="1300"/>
        </w:sectPr>
      </w:pPr>
    </w:p>
    <w:p>
      <w:pPr>
        <w:pStyle w:val="Heading1"/>
        <w:spacing w:before="79"/>
        <w:ind w:left="4218"/>
      </w:pPr>
      <w:r>
        <w:rPr/>
        <w:t>ARGUMENT</w:t>
      </w:r>
    </w:p>
    <w:p>
      <w:pPr>
        <w:pStyle w:val="BodyText"/>
        <w:spacing w:before="1"/>
        <w:ind w:left="0"/>
        <w:rPr>
          <w:b/>
        </w:rPr>
      </w:pPr>
    </w:p>
    <w:p>
      <w:pPr>
        <w:pStyle w:val="ListParagraph"/>
        <w:numPr>
          <w:ilvl w:val="0"/>
          <w:numId w:val="1"/>
        </w:numPr>
        <w:tabs>
          <w:tab w:pos="1820" w:val="left" w:leader="none"/>
          <w:tab w:pos="1821" w:val="left" w:leader="none"/>
        </w:tabs>
        <w:spacing w:line="480" w:lineRule="auto" w:before="0" w:after="0"/>
        <w:ind w:left="380" w:right="625" w:firstLine="720"/>
        <w:jc w:val="left"/>
        <w:rPr>
          <w:sz w:val="28"/>
        </w:rPr>
      </w:pPr>
      <w:r>
        <w:rPr>
          <w:sz w:val="28"/>
        </w:rPr>
        <w:t>Police requested and were granted a warrant to search Mr. Nickal’s home. Among the materials listed and seized were cell phones belonging to Molly Nickal and Gary Nickal. While indicated in the search warrant, discovery does</w:t>
      </w:r>
      <w:r>
        <w:rPr>
          <w:spacing w:val="-35"/>
          <w:sz w:val="28"/>
        </w:rPr>
        <w:t> </w:t>
      </w:r>
      <w:r>
        <w:rPr>
          <w:sz w:val="28"/>
        </w:rPr>
        <w:t>not reflect any search of a computer, or a computer being in police</w:t>
      </w:r>
      <w:r>
        <w:rPr>
          <w:spacing w:val="-18"/>
          <w:sz w:val="28"/>
        </w:rPr>
        <w:t> </w:t>
      </w:r>
      <w:r>
        <w:rPr>
          <w:sz w:val="28"/>
        </w:rPr>
        <w:t>custody.</w:t>
      </w:r>
    </w:p>
    <w:p>
      <w:pPr>
        <w:pStyle w:val="ListParagraph"/>
        <w:numPr>
          <w:ilvl w:val="0"/>
          <w:numId w:val="1"/>
        </w:numPr>
        <w:tabs>
          <w:tab w:pos="1820" w:val="left" w:leader="none"/>
          <w:tab w:pos="1821" w:val="left" w:leader="none"/>
        </w:tabs>
        <w:spacing w:line="480" w:lineRule="auto" w:before="0" w:after="0"/>
        <w:ind w:left="380" w:right="152" w:firstLine="720"/>
        <w:jc w:val="left"/>
        <w:rPr>
          <w:sz w:val="28"/>
        </w:rPr>
      </w:pPr>
      <w:r>
        <w:rPr>
          <w:sz w:val="28"/>
        </w:rPr>
        <w:t>The affidavit supplied by police in support of their request for a warrant does not support the search and seizure of these items. The affidavit mentions Mr. Nickal using a cell phone while in the presence of officers at his home, but using a cell phone is not criminal. Nor does the affidavit indicate how or why police believe the cell phone was used in any criminal episode. The request for the cell phone, rather, is simply a belief, on the part of one of the officers who first spoke with Mr. Nickal, that the phone may contain evidence. Per </w:t>
      </w:r>
      <w:r>
        <w:rPr>
          <w:i/>
          <w:sz w:val="28"/>
        </w:rPr>
        <w:t>Illinois v. Gates</w:t>
      </w:r>
      <w:r>
        <w:rPr>
          <w:sz w:val="28"/>
        </w:rPr>
        <w:t>, a belief is not sufficient to support probable cause to issue a warrant, seize property, or search that property. </w:t>
      </w:r>
      <w:r>
        <w:rPr>
          <w:i/>
          <w:sz w:val="28"/>
        </w:rPr>
        <w:t>See </w:t>
      </w:r>
      <w:r>
        <w:rPr>
          <w:sz w:val="28"/>
        </w:rPr>
        <w:t>462 U.S at</w:t>
      </w:r>
      <w:r>
        <w:rPr>
          <w:spacing w:val="-1"/>
          <w:sz w:val="28"/>
        </w:rPr>
        <w:t> </w:t>
      </w:r>
      <w:r>
        <w:rPr>
          <w:sz w:val="28"/>
        </w:rPr>
        <w:t>239.</w:t>
      </w:r>
    </w:p>
    <w:p>
      <w:pPr>
        <w:pStyle w:val="ListParagraph"/>
        <w:numPr>
          <w:ilvl w:val="0"/>
          <w:numId w:val="1"/>
        </w:numPr>
        <w:tabs>
          <w:tab w:pos="1820" w:val="left" w:leader="none"/>
          <w:tab w:pos="1821" w:val="left" w:leader="none"/>
        </w:tabs>
        <w:spacing w:line="480" w:lineRule="auto" w:before="0" w:after="0"/>
        <w:ind w:left="380" w:right="146" w:firstLine="720"/>
        <w:jc w:val="left"/>
        <w:rPr>
          <w:sz w:val="28"/>
        </w:rPr>
      </w:pPr>
      <w:r>
        <w:rPr>
          <w:sz w:val="28"/>
        </w:rPr>
        <w:t>Nor would police be justified in relying upon the warrant to seize the cell phone in this instance. There is no objectively reasonable purpose given to seize the cell phones of Gary and Molly Nickal; there is no nexus given between the cell phones and any possible crime. Therefore, police could not be justified in</w:t>
      </w:r>
      <w:r>
        <w:rPr>
          <w:spacing w:val="-16"/>
          <w:sz w:val="28"/>
        </w:rPr>
        <w:t> </w:t>
      </w:r>
      <w:r>
        <w:rPr>
          <w:sz w:val="28"/>
        </w:rPr>
        <w:t>an</w:t>
      </w:r>
    </w:p>
    <w:p>
      <w:pPr>
        <w:pStyle w:val="BodyText"/>
        <w:spacing w:line="480" w:lineRule="auto"/>
        <w:ind w:right="157"/>
      </w:pPr>
      <w:r>
        <w:rPr/>
        <w:t>“objectively reasonable” reliance upon a magistrate’s determination of probable cause</w:t>
      </w:r>
      <w:r>
        <w:rPr>
          <w:i/>
        </w:rPr>
        <w:t>. </w:t>
      </w:r>
      <w:r>
        <w:rPr>
          <w:i/>
        </w:rPr>
        <w:t>United States v. Leon</w:t>
      </w:r>
      <w:r>
        <w:rPr/>
        <w:t>, 468 U.S. 897 (1984).</w:t>
      </w:r>
    </w:p>
    <w:p>
      <w:pPr>
        <w:pStyle w:val="Heading1"/>
        <w:ind w:left="4251" w:right="3649"/>
        <w:jc w:val="center"/>
      </w:pPr>
      <w:r>
        <w:rPr/>
        <w:t>CONCLUSION</w:t>
      </w:r>
    </w:p>
    <w:p>
      <w:pPr>
        <w:spacing w:after="0"/>
        <w:jc w:val="center"/>
        <w:sectPr>
          <w:pgSz w:w="12240" w:h="15840"/>
          <w:pgMar w:top="1360" w:bottom="280" w:left="1060" w:right="1300"/>
        </w:sectPr>
      </w:pPr>
    </w:p>
    <w:p>
      <w:pPr>
        <w:pStyle w:val="BodyText"/>
        <w:spacing w:line="480" w:lineRule="auto" w:before="79"/>
        <w:ind w:right="167" w:firstLine="719"/>
      </w:pPr>
      <w:r>
        <w:rPr/>
        <w:t>WHEREFORE, Mr. Nickal, by and through counsel, requests that this Honorable Court suppress evidence gained through the illegal search and seizure of Gary and Molly Nickal’s cell phones, as well as any, as of yet undisclosed, evidence obtained through the search and seizure of any computer. Further, Mr. Nickal requests the Court schedule a hearing on this motion, far enough in advance of trial, that Mr. Nickal may obtain a transcript as necessary. Mr. Nickal makes this request pursuant to his right to be free from illegal searches and seizures, right to due process, and all other rights, accorded to a criminal defendant, pursuant to the Colorado and United State’s constitutions.</w:t>
      </w:r>
    </w:p>
    <w:p>
      <w:pPr>
        <w:pStyle w:val="BodyText"/>
        <w:spacing w:line="480" w:lineRule="auto" w:before="2"/>
        <w:ind w:right="6910"/>
      </w:pPr>
      <w:r>
        <w:rPr/>
        <w:t>Dated: July 27, 2017 Respectfully Submitted,</w:t>
      </w:r>
    </w:p>
    <w:p>
      <w:pPr>
        <w:pStyle w:val="BodyText"/>
        <w:spacing w:before="7"/>
        <w:ind w:left="0"/>
        <w:rPr>
          <w:sz w:val="11"/>
        </w:rPr>
      </w:pPr>
    </w:p>
    <w:p>
      <w:pPr>
        <w:tabs>
          <w:tab w:pos="1580" w:val="left" w:leader="none"/>
          <w:tab w:pos="4723" w:val="left" w:leader="none"/>
        </w:tabs>
        <w:spacing w:line="269" w:lineRule="exact" w:before="101"/>
        <w:ind w:left="380" w:right="0" w:firstLine="0"/>
        <w:jc w:val="left"/>
        <w:rPr>
          <w:sz w:val="24"/>
        </w:rPr>
      </w:pPr>
      <w:r>
        <w:rPr>
          <w:sz w:val="24"/>
          <w:u w:val="single"/>
        </w:rPr>
        <w:t> </w:t>
        <w:tab/>
      </w:r>
      <w:r>
        <w:rPr>
          <w:sz w:val="24"/>
        </w:rPr>
        <w:t>/s/</w:t>
      </w:r>
      <w:r>
        <w:rPr>
          <w:sz w:val="24"/>
          <w:u w:val="single"/>
        </w:rPr>
        <w:t> </w:t>
        <w:tab/>
      </w:r>
    </w:p>
    <w:p>
      <w:pPr>
        <w:pStyle w:val="BodyText"/>
        <w:ind w:right="7193"/>
      </w:pPr>
      <w:r>
        <w:rPr/>
        <w:drawing>
          <wp:anchor distT="0" distB="0" distL="0" distR="0" allowOverlap="1" layoutInCell="1" locked="0" behindDoc="0" simplePos="0" relativeHeight="0">
            <wp:simplePos x="0" y="0"/>
            <wp:positionH relativeFrom="page">
              <wp:posOffset>737616</wp:posOffset>
            </wp:positionH>
            <wp:positionV relativeFrom="paragraph">
              <wp:posOffset>460189</wp:posOffset>
            </wp:positionV>
            <wp:extent cx="2148306" cy="60350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148306" cy="603503"/>
                    </a:xfrm>
                    <a:prstGeom prst="rect">
                      <a:avLst/>
                    </a:prstGeom>
                  </pic:spPr>
                </pic:pic>
              </a:graphicData>
            </a:graphic>
          </wp:anchor>
        </w:drawing>
      </w:r>
      <w:r>
        <w:rPr/>
        <w:pict>
          <v:line style="position:absolute;mso-position-horizontal-relative:page;mso-position-vertical-relative:paragraph;z-index:-1000;mso-wrap-distance-left:0;mso-wrap-distance-right:0" from="72.024002pt,92.18943pt" to="316.993934pt,92.18943pt" stroked="true" strokeweight=".702pt" strokecolor="#000000">
            <v:stroke dashstyle="solid"/>
            <w10:wrap type="topAndBottom"/>
          </v:line>
        </w:pict>
      </w:r>
      <w:r>
        <w:rPr/>
        <w:t>Patrick Mulligan Registration # 16981</w:t>
      </w:r>
    </w:p>
    <w:p>
      <w:pPr>
        <w:pStyle w:val="BodyText"/>
        <w:spacing w:before="2"/>
        <w:ind w:left="0"/>
        <w:rPr>
          <w:sz w:val="8"/>
        </w:rPr>
      </w:pPr>
    </w:p>
    <w:p>
      <w:pPr>
        <w:pStyle w:val="BodyText"/>
        <w:spacing w:line="315" w:lineRule="exact" w:before="10"/>
      </w:pPr>
      <w:r>
        <w:rPr/>
        <w:t>Jennifer Longtin, #43509</w:t>
      </w:r>
    </w:p>
    <w:p>
      <w:pPr>
        <w:pStyle w:val="BodyText"/>
        <w:spacing w:line="315" w:lineRule="exact"/>
      </w:pPr>
      <w:r>
        <w:rPr/>
        <w:t>The Law Office of Jennifer E. Longtin, LLC</w:t>
      </w:r>
    </w:p>
    <w:p>
      <w:pPr>
        <w:pStyle w:val="BodyText"/>
        <w:spacing w:before="8"/>
        <w:ind w:left="0"/>
        <w:rPr>
          <w:sz w:val="27"/>
        </w:rPr>
      </w:pPr>
    </w:p>
    <w:p>
      <w:pPr>
        <w:pStyle w:val="Heading1"/>
      </w:pPr>
      <w:r>
        <w:rPr/>
        <w:t>Certificate of Service</w:t>
      </w:r>
    </w:p>
    <w:p>
      <w:pPr>
        <w:pStyle w:val="BodyText"/>
        <w:spacing w:line="480" w:lineRule="auto" w:before="50"/>
        <w:ind w:right="208"/>
      </w:pPr>
      <w:r>
        <w:rPr/>
        <w:drawing>
          <wp:anchor distT="0" distB="0" distL="0" distR="0" allowOverlap="1" layoutInCell="1" locked="0" behindDoc="1" simplePos="0" relativeHeight="268428287">
            <wp:simplePos x="0" y="0"/>
            <wp:positionH relativeFrom="page">
              <wp:posOffset>1011415</wp:posOffset>
            </wp:positionH>
            <wp:positionV relativeFrom="paragraph">
              <wp:posOffset>779594</wp:posOffset>
            </wp:positionV>
            <wp:extent cx="1998298" cy="50291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998298" cy="502919"/>
                    </a:xfrm>
                    <a:prstGeom prst="rect">
                      <a:avLst/>
                    </a:prstGeom>
                  </pic:spPr>
                </pic:pic>
              </a:graphicData>
            </a:graphic>
          </wp:anchor>
        </w:drawing>
      </w:r>
      <w:r>
        <w:rPr/>
        <w:t>The undersigned does hereby certify that on July 27, 2017, s/he did serve the foregoing MOTION via ICCES to all counsel of record.</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5"/>
        </w:rPr>
      </w:pPr>
      <w:r>
        <w:rPr/>
        <w:pict>
          <v:line style="position:absolute;mso-position-horizontal-relative:page;mso-position-vertical-relative:paragraph;z-index:-976;mso-wrap-distance-left:0;mso-wrap-distance-right:0" from="72.024002pt,11.2985pt" to="281.978172pt,11.2985pt" stroked="true" strokeweight=".702pt" strokecolor="#000000">
            <v:stroke dashstyle="solid"/>
            <w10:wrap type="topAndBottom"/>
          </v:line>
        </w:pict>
      </w:r>
    </w:p>
    <w:p>
      <w:pPr>
        <w:spacing w:after="0"/>
        <w:rPr>
          <w:sz w:val="15"/>
        </w:rPr>
        <w:sectPr>
          <w:pgSz w:w="12240" w:h="15840"/>
          <w:pgMar w:top="1360" w:bottom="280" w:left="1060" w:right="1300"/>
        </w:sectPr>
      </w:pPr>
    </w:p>
    <w:p>
      <w:pPr>
        <w:pStyle w:val="BodyText"/>
        <w:spacing w:before="4"/>
        <w:ind w:left="0"/>
        <w:rPr>
          <w:rFonts w:ascii="Times New Roman"/>
          <w:sz w:val="17"/>
        </w:rPr>
      </w:pPr>
    </w:p>
    <w:p>
      <w:pPr>
        <w:spacing w:after="0"/>
        <w:rPr>
          <w:rFonts w:ascii="Times New Roman"/>
          <w:sz w:val="17"/>
        </w:rPr>
        <w:sectPr>
          <w:pgSz w:w="12240" w:h="15840"/>
          <w:pgMar w:top="1500" w:bottom="280" w:left="1060" w:right="1300"/>
        </w:sectPr>
      </w:pPr>
    </w:p>
    <w:p>
      <w:pPr>
        <w:pStyle w:val="BodyText"/>
        <w:spacing w:before="4"/>
        <w:ind w:left="0"/>
        <w:rPr>
          <w:rFonts w:ascii="Times New Roman"/>
          <w:sz w:val="17"/>
        </w:rPr>
      </w:pPr>
    </w:p>
    <w:sectPr>
      <w:pgSz w:w="12240" w:h="15840"/>
      <w:pgMar w:top="1500" w:bottom="280" w:left="10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20" w:hanging="720"/>
        <w:jc w:val="left"/>
      </w:pPr>
      <w:rPr>
        <w:rFonts w:hint="default" w:ascii="Garamond" w:hAnsi="Garamond" w:eastAsia="Garamond" w:cs="Garamond"/>
        <w:w w:val="100"/>
        <w:sz w:val="28"/>
        <w:szCs w:val="28"/>
      </w:rPr>
    </w:lvl>
    <w:lvl w:ilvl="1">
      <w:start w:val="0"/>
      <w:numFmt w:val="bullet"/>
      <w:lvlText w:val="•"/>
      <w:lvlJc w:val="left"/>
      <w:pPr>
        <w:ind w:left="2626" w:hanging="720"/>
      </w:pPr>
      <w:rPr>
        <w:rFonts w:hint="default"/>
      </w:rPr>
    </w:lvl>
    <w:lvl w:ilvl="2">
      <w:start w:val="0"/>
      <w:numFmt w:val="bullet"/>
      <w:lvlText w:val="•"/>
      <w:lvlJc w:val="left"/>
      <w:pPr>
        <w:ind w:left="3432" w:hanging="720"/>
      </w:pPr>
      <w:rPr>
        <w:rFonts w:hint="default"/>
      </w:rPr>
    </w:lvl>
    <w:lvl w:ilvl="3">
      <w:start w:val="0"/>
      <w:numFmt w:val="bullet"/>
      <w:lvlText w:val="•"/>
      <w:lvlJc w:val="left"/>
      <w:pPr>
        <w:ind w:left="4238" w:hanging="720"/>
      </w:pPr>
      <w:rPr>
        <w:rFonts w:hint="default"/>
      </w:rPr>
    </w:lvl>
    <w:lvl w:ilvl="4">
      <w:start w:val="0"/>
      <w:numFmt w:val="bullet"/>
      <w:lvlText w:val="•"/>
      <w:lvlJc w:val="left"/>
      <w:pPr>
        <w:ind w:left="5044" w:hanging="720"/>
      </w:pPr>
      <w:rPr>
        <w:rFonts w:hint="default"/>
      </w:rPr>
    </w:lvl>
    <w:lvl w:ilvl="5">
      <w:start w:val="0"/>
      <w:numFmt w:val="bullet"/>
      <w:lvlText w:val="•"/>
      <w:lvlJc w:val="left"/>
      <w:pPr>
        <w:ind w:left="5850" w:hanging="720"/>
      </w:pPr>
      <w:rPr>
        <w:rFonts w:hint="default"/>
      </w:rPr>
    </w:lvl>
    <w:lvl w:ilvl="6">
      <w:start w:val="0"/>
      <w:numFmt w:val="bullet"/>
      <w:lvlText w:val="•"/>
      <w:lvlJc w:val="left"/>
      <w:pPr>
        <w:ind w:left="6656" w:hanging="720"/>
      </w:pPr>
      <w:rPr>
        <w:rFonts w:hint="default"/>
      </w:rPr>
    </w:lvl>
    <w:lvl w:ilvl="7">
      <w:start w:val="0"/>
      <w:numFmt w:val="bullet"/>
      <w:lvlText w:val="•"/>
      <w:lvlJc w:val="left"/>
      <w:pPr>
        <w:ind w:left="7462" w:hanging="720"/>
      </w:pPr>
      <w:rPr>
        <w:rFonts w:hint="default"/>
      </w:rPr>
    </w:lvl>
    <w:lvl w:ilvl="8">
      <w:start w:val="0"/>
      <w:numFmt w:val="bullet"/>
      <w:lvlText w:val="•"/>
      <w:lvlJc w:val="left"/>
      <w:pPr>
        <w:ind w:left="826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380"/>
    </w:pPr>
    <w:rPr>
      <w:rFonts w:ascii="Garamond" w:hAnsi="Garamond" w:eastAsia="Garamond" w:cs="Garamond"/>
      <w:sz w:val="28"/>
      <w:szCs w:val="28"/>
    </w:rPr>
  </w:style>
  <w:style w:styleId="Heading1" w:type="paragraph">
    <w:name w:val="Heading 1"/>
    <w:basedOn w:val="Normal"/>
    <w:uiPriority w:val="1"/>
    <w:qFormat/>
    <w:pPr>
      <w:ind w:left="3839"/>
      <w:outlineLvl w:val="1"/>
    </w:pPr>
    <w:rPr>
      <w:rFonts w:ascii="Garamond" w:hAnsi="Garamond" w:eastAsia="Garamond" w:cs="Garamond"/>
      <w:b/>
      <w:bCs/>
      <w:sz w:val="28"/>
      <w:szCs w:val="28"/>
    </w:rPr>
  </w:style>
  <w:style w:styleId="ListParagraph" w:type="paragraph">
    <w:name w:val="List Paragraph"/>
    <w:basedOn w:val="Normal"/>
    <w:uiPriority w:val="1"/>
    <w:qFormat/>
    <w:pPr>
      <w:ind w:left="380" w:firstLine="720"/>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iet.com" TargetMode="External"/><Relationship Id="rId6" Type="http://schemas.openxmlformats.org/officeDocument/2006/relationships/hyperlink" Target="mailto:Jen@jlongtinlaw.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2019-03-20T18:43:12Z</dcterms:created>
  <dcterms:modified xsi:type="dcterms:W3CDTF">2019-03-20T18:43:12Z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