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6"/>
        <w:gridCol w:w="3420"/>
      </w:tblGrid>
      <w:tr>
        <w:trPr>
          <w:trHeight w:val="1333" w:hRule="atLeast"/>
        </w:trPr>
        <w:tc>
          <w:tcPr>
            <w:tcW w:w="5956" w:type="dxa"/>
          </w:tcPr>
          <w:p>
            <w:pPr>
              <w:pStyle w:val="TableParagraph"/>
              <w:spacing w:line="315" w:lineRule="exact"/>
              <w:ind w:left="107"/>
              <w:rPr>
                <w:sz w:val="28"/>
              </w:rPr>
            </w:pPr>
            <w:r>
              <w:rPr>
                <w:sz w:val="28"/>
              </w:rPr>
              <w:t>DISTRICT COURT</w:t>
            </w:r>
          </w:p>
          <w:p>
            <w:pPr>
              <w:pStyle w:val="TableParagraph"/>
              <w:spacing w:line="330" w:lineRule="atLeast" w:before="3"/>
              <w:ind w:left="107" w:right="1178"/>
              <w:rPr>
                <w:sz w:val="28"/>
              </w:rPr>
            </w:pPr>
            <w:r>
              <w:rPr>
                <w:sz w:val="28"/>
              </w:rPr>
              <w:t>JEFFERSON COUNTY, COLORADO 100 JEFFERSON COUNTY PARKWAY GOLDEN, COLORADO 80401</w:t>
            </w:r>
          </w:p>
        </w:tc>
        <w:tc>
          <w:tcPr>
            <w:tcW w:w="3420" w:type="dxa"/>
            <w:vMerge w:val="restart"/>
          </w:tcPr>
          <w:p>
            <w:pPr>
              <w:pStyle w:val="TableParagraph"/>
              <w:rPr>
                <w:rFonts w:ascii="Times New Roman"/>
                <w:sz w:val="22"/>
              </w:rPr>
            </w:pPr>
          </w:p>
          <w:p>
            <w:pPr>
              <w:pStyle w:val="TableParagraph"/>
              <w:rPr>
                <w:rFonts w:ascii="Times New Roman"/>
                <w:sz w:val="22"/>
              </w:rPr>
            </w:pPr>
          </w:p>
          <w:p>
            <w:pPr>
              <w:pStyle w:val="TableParagraph"/>
              <w:spacing w:line="225" w:lineRule="auto" w:before="132"/>
              <w:ind w:left="143"/>
              <w:rPr>
                <w:rFonts w:ascii="Times New Roman"/>
                <w:sz w:val="20"/>
              </w:rPr>
            </w:pPr>
            <w:r>
              <w:rPr>
                <w:rFonts w:ascii="Times New Roman"/>
                <w:color w:val="0000FF"/>
                <w:sz w:val="20"/>
              </w:rPr>
              <w:t>DATE FILED: July 20, 2017 5:21 </w:t>
            </w:r>
            <w:r>
              <w:rPr>
                <w:rFonts w:ascii="Times New Roman"/>
                <w:color w:val="0000FF"/>
                <w:spacing w:val="-7"/>
                <w:sz w:val="20"/>
              </w:rPr>
              <w:t>PM </w:t>
            </w:r>
            <w:r>
              <w:rPr>
                <w:rFonts w:ascii="Times New Roman"/>
                <w:color w:val="0000FF"/>
                <w:sz w:val="20"/>
              </w:rPr>
              <w:t>FILING ID:</w:t>
            </w:r>
            <w:r>
              <w:rPr>
                <w:rFonts w:ascii="Times New Roman"/>
                <w:color w:val="0000FF"/>
                <w:spacing w:val="13"/>
                <w:sz w:val="20"/>
              </w:rPr>
              <w:t> </w:t>
            </w:r>
            <w:r>
              <w:rPr>
                <w:rFonts w:ascii="Times New Roman"/>
                <w:color w:val="0000FF"/>
                <w:sz w:val="20"/>
              </w:rPr>
              <w:t>5DBBF67C36E06</w:t>
            </w:r>
          </w:p>
          <w:p>
            <w:pPr>
              <w:pStyle w:val="TableParagraph"/>
              <w:spacing w:line="218" w:lineRule="exact"/>
              <w:ind w:left="143"/>
              <w:rPr>
                <w:rFonts w:ascii="Times New Roman"/>
                <w:sz w:val="20"/>
              </w:rPr>
            </w:pPr>
            <w:r>
              <w:rPr>
                <w:rFonts w:ascii="Times New Roman"/>
                <w:color w:val="0000FF"/>
                <w:sz w:val="20"/>
              </w:rPr>
              <w:t>CASE NUMBER: 2016CR1463</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1"/>
              </w:rPr>
            </w:pPr>
          </w:p>
          <w:p>
            <w:pPr>
              <w:pStyle w:val="TableParagraph"/>
              <w:ind w:left="519"/>
              <w:rPr>
                <w:sz w:val="28"/>
              </w:rPr>
            </w:pPr>
            <w:r>
              <w:rPr>
                <w:sz w:val="28"/>
              </w:rPr>
              <w:t>COURT USE ONLY</w:t>
            </w:r>
          </w:p>
        </w:tc>
      </w:tr>
      <w:tr>
        <w:trPr>
          <w:trHeight w:val="2999" w:hRule="atLeast"/>
        </w:trPr>
        <w:tc>
          <w:tcPr>
            <w:tcW w:w="5956" w:type="dxa"/>
          </w:tcPr>
          <w:p>
            <w:pPr>
              <w:pStyle w:val="TableParagraph"/>
              <w:spacing w:line="254" w:lineRule="auto"/>
              <w:ind w:left="107" w:right="1364"/>
              <w:rPr>
                <w:b/>
                <w:sz w:val="28"/>
              </w:rPr>
            </w:pPr>
            <w:r>
              <w:rPr>
                <w:b/>
                <w:sz w:val="28"/>
              </w:rPr>
              <w:t>THE PEOPLE OF THE STATE OF COLORADO</w:t>
            </w:r>
          </w:p>
          <w:p>
            <w:pPr>
              <w:pStyle w:val="TableParagraph"/>
              <w:spacing w:line="506" w:lineRule="auto"/>
              <w:ind w:left="107" w:right="4782"/>
              <w:rPr>
                <w:sz w:val="28"/>
              </w:rPr>
            </w:pPr>
            <w:r>
              <w:rPr>
                <w:w w:val="95"/>
                <w:sz w:val="28"/>
              </w:rPr>
              <w:t>Plaintiff, </w:t>
            </w:r>
            <w:r>
              <w:rPr>
                <w:sz w:val="28"/>
              </w:rPr>
              <w:t>v.</w:t>
            </w:r>
          </w:p>
          <w:p>
            <w:pPr>
              <w:pStyle w:val="TableParagraph"/>
              <w:spacing w:before="3"/>
              <w:ind w:left="107"/>
              <w:rPr>
                <w:sz w:val="28"/>
              </w:rPr>
            </w:pPr>
            <w:r>
              <w:rPr>
                <w:b/>
                <w:sz w:val="28"/>
              </w:rPr>
              <w:t>GARY NICKAL</w:t>
            </w:r>
            <w:r>
              <w:rPr>
                <w:sz w:val="28"/>
              </w:rPr>
              <w:t>,</w:t>
            </w:r>
          </w:p>
          <w:p>
            <w:pPr>
              <w:pStyle w:val="TableParagraph"/>
              <w:spacing w:before="18"/>
              <w:ind w:left="107"/>
              <w:rPr>
                <w:sz w:val="28"/>
              </w:rPr>
            </w:pPr>
            <w:r>
              <w:rPr>
                <w:sz w:val="28"/>
              </w:rPr>
              <w:t>Accused.</w:t>
            </w:r>
          </w:p>
        </w:tc>
        <w:tc>
          <w:tcPr>
            <w:tcW w:w="3420" w:type="dxa"/>
            <w:vMerge/>
            <w:tcBorders>
              <w:top w:val="nil"/>
            </w:tcBorders>
          </w:tcPr>
          <w:p>
            <w:pPr>
              <w:rPr>
                <w:sz w:val="2"/>
                <w:szCs w:val="2"/>
              </w:rPr>
            </w:pPr>
          </w:p>
        </w:tc>
      </w:tr>
      <w:tr>
        <w:trPr>
          <w:trHeight w:val="5084" w:hRule="atLeast"/>
        </w:trPr>
        <w:tc>
          <w:tcPr>
            <w:tcW w:w="5956" w:type="dxa"/>
          </w:tcPr>
          <w:p>
            <w:pPr>
              <w:pStyle w:val="TableParagraph"/>
              <w:spacing w:before="1"/>
              <w:ind w:left="107"/>
              <w:rPr>
                <w:sz w:val="28"/>
              </w:rPr>
            </w:pPr>
            <w:r>
              <w:rPr>
                <w:sz w:val="28"/>
              </w:rPr>
              <w:t>M</w:t>
            </w:r>
            <w:r>
              <w:rPr>
                <w:sz w:val="22"/>
              </w:rPr>
              <w:t>ULLIGAN </w:t>
            </w:r>
            <w:r>
              <w:rPr>
                <w:sz w:val="28"/>
              </w:rPr>
              <w:t>B</w:t>
            </w:r>
            <w:r>
              <w:rPr>
                <w:sz w:val="22"/>
              </w:rPr>
              <w:t>RIET</w:t>
            </w:r>
            <w:r>
              <w:rPr>
                <w:sz w:val="28"/>
              </w:rPr>
              <w:t>, LLC</w:t>
            </w:r>
          </w:p>
          <w:p>
            <w:pPr>
              <w:pStyle w:val="TableParagraph"/>
              <w:spacing w:before="17"/>
              <w:ind w:left="107"/>
              <w:rPr>
                <w:sz w:val="28"/>
              </w:rPr>
            </w:pPr>
            <w:r>
              <w:rPr>
                <w:sz w:val="28"/>
              </w:rPr>
              <w:t>Patrick Mulligan, #16981</w:t>
            </w:r>
          </w:p>
          <w:p>
            <w:pPr>
              <w:pStyle w:val="TableParagraph"/>
              <w:spacing w:before="19"/>
              <w:ind w:left="107"/>
              <w:rPr>
                <w:sz w:val="28"/>
              </w:rPr>
            </w:pPr>
            <w:r>
              <w:rPr>
                <w:sz w:val="28"/>
              </w:rPr>
              <w:t>1801 Broadway, Suite 1203</w:t>
            </w:r>
          </w:p>
          <w:p>
            <w:pPr>
              <w:pStyle w:val="TableParagraph"/>
              <w:spacing w:before="18"/>
              <w:ind w:left="108"/>
              <w:rPr>
                <w:sz w:val="28"/>
              </w:rPr>
            </w:pPr>
            <w:r>
              <w:rPr>
                <w:sz w:val="28"/>
              </w:rPr>
              <w:t>Denver, CO 80202</w:t>
            </w:r>
          </w:p>
          <w:p>
            <w:pPr>
              <w:pStyle w:val="TableParagraph"/>
              <w:spacing w:line="254" w:lineRule="auto" w:before="19"/>
              <w:ind w:left="107" w:right="3394"/>
              <w:rPr>
                <w:sz w:val="28"/>
              </w:rPr>
            </w:pPr>
            <w:r>
              <w:rPr>
                <w:sz w:val="28"/>
              </w:rPr>
              <w:t>P</w:t>
            </w:r>
            <w:r>
              <w:rPr>
                <w:sz w:val="22"/>
              </w:rPr>
              <w:t>H</w:t>
            </w:r>
            <w:r>
              <w:rPr>
                <w:sz w:val="28"/>
              </w:rPr>
              <w:t>. 303-295-1500 F</w:t>
            </w:r>
            <w:r>
              <w:rPr>
                <w:sz w:val="22"/>
              </w:rPr>
              <w:t>AX</w:t>
            </w:r>
            <w:r>
              <w:rPr>
                <w:sz w:val="28"/>
              </w:rPr>
              <w:t>:</w:t>
            </w:r>
          </w:p>
          <w:p>
            <w:pPr>
              <w:pStyle w:val="TableParagraph"/>
              <w:spacing w:line="313" w:lineRule="exact"/>
              <w:ind w:left="107"/>
              <w:rPr>
                <w:sz w:val="28"/>
              </w:rPr>
            </w:pPr>
            <w:r>
              <w:rPr>
                <w:sz w:val="28"/>
              </w:rPr>
              <w:t>E</w:t>
            </w:r>
            <w:r>
              <w:rPr>
                <w:sz w:val="22"/>
              </w:rPr>
              <w:t>MAIL</w:t>
            </w:r>
            <w:r>
              <w:rPr>
                <w:sz w:val="28"/>
              </w:rPr>
              <w:t>: </w:t>
            </w:r>
            <w:hyperlink r:id="rId6">
              <w:r>
                <w:rPr>
                  <w:color w:val="0000FF"/>
                  <w:sz w:val="28"/>
                  <w:u w:val="single" w:color="0000FF"/>
                </w:rPr>
                <w:t>Patrick@MulliganBriet.com</w:t>
              </w:r>
            </w:hyperlink>
          </w:p>
          <w:p>
            <w:pPr>
              <w:pStyle w:val="TableParagraph"/>
              <w:spacing w:before="108"/>
              <w:ind w:left="107" w:right="1362"/>
              <w:rPr>
                <w:sz w:val="28"/>
              </w:rPr>
            </w:pPr>
            <w:r>
              <w:rPr>
                <w:sz w:val="28"/>
              </w:rPr>
              <w:t>THE LAW OFFICE OF JENNIFER E. LONGTIN, LLC</w:t>
            </w:r>
          </w:p>
          <w:p>
            <w:pPr>
              <w:pStyle w:val="TableParagraph"/>
              <w:ind w:left="107" w:right="2739"/>
              <w:rPr>
                <w:sz w:val="28"/>
              </w:rPr>
            </w:pPr>
            <w:r>
              <w:rPr>
                <w:sz w:val="28"/>
              </w:rPr>
              <w:t>Jennifer E. Longtin, #43509 2401 S. Downing St.</w:t>
            </w:r>
          </w:p>
          <w:p>
            <w:pPr>
              <w:pStyle w:val="TableParagraph"/>
              <w:spacing w:line="270" w:lineRule="exact"/>
              <w:ind w:left="107"/>
              <w:rPr>
                <w:sz w:val="28"/>
              </w:rPr>
            </w:pPr>
            <w:r>
              <w:rPr>
                <w:sz w:val="28"/>
              </w:rPr>
              <w:t>Denver, CO 80201</w:t>
            </w:r>
          </w:p>
          <w:p>
            <w:pPr>
              <w:pStyle w:val="TableParagraph"/>
              <w:spacing w:line="269" w:lineRule="exact"/>
              <w:ind w:left="107"/>
              <w:rPr>
                <w:sz w:val="28"/>
              </w:rPr>
            </w:pPr>
            <w:r>
              <w:rPr>
                <w:sz w:val="28"/>
              </w:rPr>
              <w:t>Ph. 303.747.6898</w:t>
            </w:r>
          </w:p>
          <w:p>
            <w:pPr>
              <w:pStyle w:val="TableParagraph"/>
              <w:spacing w:line="269" w:lineRule="exact"/>
              <w:ind w:left="107"/>
              <w:rPr>
                <w:sz w:val="28"/>
              </w:rPr>
            </w:pPr>
            <w:r>
              <w:rPr>
                <w:sz w:val="28"/>
              </w:rPr>
              <w:t>Fax. 800.243.2691</w:t>
            </w:r>
          </w:p>
          <w:p>
            <w:pPr>
              <w:pStyle w:val="TableParagraph"/>
              <w:spacing w:line="292" w:lineRule="exact"/>
              <w:ind w:left="107"/>
              <w:rPr>
                <w:sz w:val="28"/>
              </w:rPr>
            </w:pPr>
            <w:hyperlink r:id="rId7">
              <w:r>
                <w:rPr>
                  <w:sz w:val="28"/>
                </w:rPr>
                <w:t>Jen@jlongtinlaw.com</w:t>
              </w:r>
            </w:hyperlink>
          </w:p>
        </w:tc>
        <w:tc>
          <w:tcPr>
            <w:tcW w:w="3420" w:type="dxa"/>
          </w:tcPr>
          <w:p>
            <w:pPr>
              <w:pStyle w:val="TableParagraph"/>
              <w:rPr>
                <w:rFonts w:ascii="Times New Roman"/>
                <w:sz w:val="30"/>
              </w:rPr>
            </w:pPr>
          </w:p>
          <w:p>
            <w:pPr>
              <w:pStyle w:val="TableParagraph"/>
              <w:spacing w:before="11"/>
              <w:rPr>
                <w:rFonts w:ascii="Times New Roman"/>
                <w:sz w:val="27"/>
              </w:rPr>
            </w:pPr>
          </w:p>
          <w:p>
            <w:pPr>
              <w:pStyle w:val="TableParagraph"/>
              <w:ind w:left="107"/>
              <w:rPr>
                <w:sz w:val="28"/>
              </w:rPr>
            </w:pPr>
            <w:r>
              <w:rPr>
                <w:sz w:val="28"/>
              </w:rPr>
              <w:t>Case No. 16CR001463</w:t>
            </w: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spacing w:before="6"/>
              <w:rPr>
                <w:rFonts w:ascii="Times New Roman"/>
                <w:sz w:val="26"/>
              </w:rPr>
            </w:pPr>
          </w:p>
          <w:p>
            <w:pPr>
              <w:pStyle w:val="TableParagraph"/>
              <w:spacing w:before="1"/>
              <w:ind w:left="107"/>
              <w:rPr>
                <w:sz w:val="28"/>
              </w:rPr>
            </w:pPr>
            <w:r>
              <w:rPr>
                <w:sz w:val="28"/>
              </w:rPr>
              <w:t>Division: 12</w:t>
            </w:r>
          </w:p>
        </w:tc>
      </w:tr>
      <w:tr>
        <w:trPr>
          <w:trHeight w:val="666" w:hRule="atLeast"/>
        </w:trPr>
        <w:tc>
          <w:tcPr>
            <w:tcW w:w="9376" w:type="dxa"/>
            <w:gridSpan w:val="2"/>
          </w:tcPr>
          <w:p>
            <w:pPr>
              <w:pStyle w:val="TableParagraph"/>
              <w:spacing w:before="1"/>
              <w:ind w:left="526" w:right="519"/>
              <w:jc w:val="center"/>
              <w:rPr>
                <w:b/>
                <w:sz w:val="28"/>
              </w:rPr>
            </w:pPr>
            <w:r>
              <w:rPr>
                <w:b/>
                <w:sz w:val="28"/>
              </w:rPr>
              <w:t>OBJECTION TO NON-CLINICAL USE OF TERM “SUBSTANCE</w:t>
            </w:r>
          </w:p>
          <w:p>
            <w:pPr>
              <w:pStyle w:val="TableParagraph"/>
              <w:spacing w:line="314" w:lineRule="exact" w:before="17"/>
              <w:ind w:left="525" w:right="519"/>
              <w:jc w:val="center"/>
              <w:rPr>
                <w:b/>
                <w:sz w:val="28"/>
              </w:rPr>
            </w:pPr>
            <w:r>
              <w:rPr>
                <w:b/>
                <w:sz w:val="28"/>
              </w:rPr>
              <w:t>ABUSE” AND ITS’ SYNONYMS</w:t>
            </w:r>
          </w:p>
        </w:tc>
      </w:tr>
    </w:tbl>
    <w:p>
      <w:pPr>
        <w:pStyle w:val="BodyText"/>
        <w:spacing w:before="8"/>
        <w:rPr>
          <w:rFonts w:ascii="Times New Roman"/>
          <w:sz w:val="18"/>
        </w:rPr>
      </w:pPr>
    </w:p>
    <w:p>
      <w:pPr>
        <w:pStyle w:val="BodyText"/>
        <w:spacing w:line="480" w:lineRule="auto" w:before="100"/>
        <w:ind w:left="379" w:right="117" w:firstLine="719"/>
        <w:jc w:val="both"/>
      </w:pPr>
      <w:r>
        <w:rPr/>
        <w:t>Gary Nickal, by and through counsel, moves this Honorable Court to order the prosecution, and their witnesses, to refrain from using the terms and phrases: substance abuse, Adderall abuse, drug abuse, substance use disorder, abusing drugs, and any of their synonyms. The defense believes that any witness, not qualified as an</w:t>
      </w:r>
    </w:p>
    <w:p>
      <w:pPr>
        <w:spacing w:after="0" w:line="480" w:lineRule="auto"/>
        <w:jc w:val="both"/>
        <w:sectPr>
          <w:footerReference w:type="default" r:id="rId5"/>
          <w:type w:val="continuous"/>
          <w:pgSz w:w="12240" w:h="15840"/>
          <w:pgMar w:footer="1066" w:top="1440" w:bottom="1260" w:left="1060" w:right="1320"/>
          <w:pgNumType w:start="1"/>
        </w:sectPr>
      </w:pPr>
    </w:p>
    <w:p>
      <w:pPr>
        <w:pStyle w:val="BodyText"/>
        <w:spacing w:line="480" w:lineRule="auto" w:before="80"/>
        <w:ind w:left="379" w:right="118"/>
        <w:jc w:val="both"/>
      </w:pPr>
      <w:r>
        <w:rPr/>
        <w:t>expert in substance use disorders as defined in the Diagnostic and Statistical Manual of Mental Disorders, Firth Edition (DSM-V), and having personally evaluated Mr. Nickal, can opine as to these conditions; furthermore, any opinion given on these conditions must first be found to have a foundation in the evidence presented. As grounds, Mr. Nickal states the</w:t>
      </w:r>
      <w:r>
        <w:rPr>
          <w:spacing w:val="-3"/>
        </w:rPr>
        <w:t> </w:t>
      </w:r>
      <w:r>
        <w:rPr/>
        <w:t>following:</w:t>
      </w:r>
    </w:p>
    <w:p>
      <w:pPr>
        <w:pStyle w:val="Heading1"/>
        <w:ind w:left="4753"/>
        <w:jc w:val="left"/>
        <w:rPr>
          <w:u w:val="none"/>
        </w:rPr>
      </w:pPr>
      <w:r>
        <w:rPr>
          <w:u w:val="none"/>
        </w:rPr>
        <w:t>LAW</w:t>
      </w:r>
    </w:p>
    <w:p>
      <w:pPr>
        <w:pStyle w:val="BodyText"/>
        <w:spacing w:before="11"/>
        <w:rPr>
          <w:b/>
          <w:sz w:val="27"/>
        </w:rPr>
      </w:pPr>
    </w:p>
    <w:p>
      <w:pPr>
        <w:pStyle w:val="ListParagraph"/>
        <w:numPr>
          <w:ilvl w:val="0"/>
          <w:numId w:val="1"/>
        </w:numPr>
        <w:tabs>
          <w:tab w:pos="1820" w:val="left" w:leader="none"/>
        </w:tabs>
        <w:spacing w:line="480" w:lineRule="auto" w:before="0" w:after="0"/>
        <w:ind w:left="379" w:right="118" w:firstLine="720"/>
        <w:jc w:val="both"/>
        <w:rPr>
          <w:sz w:val="28"/>
        </w:rPr>
      </w:pPr>
      <w:r>
        <w:rPr>
          <w:sz w:val="28"/>
        </w:rPr>
        <w:t>A defendant is prejudiced in his defense when the statements or evidence objected to, have a tendency to suggest “considerations extraneous to the merits</w:t>
      </w:r>
      <w:r>
        <w:rPr>
          <w:spacing w:val="43"/>
          <w:sz w:val="28"/>
        </w:rPr>
        <w:t> </w:t>
      </w:r>
      <w:r>
        <w:rPr>
          <w:sz w:val="28"/>
        </w:rPr>
        <w:t>of</w:t>
      </w:r>
      <w:r>
        <w:rPr>
          <w:spacing w:val="44"/>
          <w:sz w:val="28"/>
        </w:rPr>
        <w:t> </w:t>
      </w:r>
      <w:r>
        <w:rPr>
          <w:sz w:val="28"/>
        </w:rPr>
        <w:t>the</w:t>
      </w:r>
      <w:r>
        <w:rPr>
          <w:spacing w:val="44"/>
          <w:sz w:val="28"/>
        </w:rPr>
        <w:t> </w:t>
      </w:r>
      <w:r>
        <w:rPr>
          <w:sz w:val="28"/>
        </w:rPr>
        <w:t>[case].”</w:t>
      </w:r>
      <w:r>
        <w:rPr>
          <w:spacing w:val="45"/>
          <w:sz w:val="28"/>
        </w:rPr>
        <w:t> </w:t>
      </w:r>
      <w:r>
        <w:rPr>
          <w:sz w:val="28"/>
          <w:u w:val="single"/>
        </w:rPr>
        <w:t>People</w:t>
      </w:r>
      <w:r>
        <w:rPr>
          <w:spacing w:val="43"/>
          <w:sz w:val="28"/>
          <w:u w:val="single"/>
        </w:rPr>
        <w:t> </w:t>
      </w:r>
      <w:r>
        <w:rPr>
          <w:sz w:val="28"/>
          <w:u w:val="single"/>
        </w:rPr>
        <w:t>v.</w:t>
      </w:r>
      <w:r>
        <w:rPr>
          <w:spacing w:val="45"/>
          <w:sz w:val="28"/>
          <w:u w:val="single"/>
        </w:rPr>
        <w:t> </w:t>
      </w:r>
      <w:r>
        <w:rPr>
          <w:sz w:val="28"/>
          <w:u w:val="single"/>
        </w:rPr>
        <w:t>Dist.</w:t>
      </w:r>
      <w:r>
        <w:rPr>
          <w:spacing w:val="44"/>
          <w:sz w:val="28"/>
          <w:u w:val="single"/>
        </w:rPr>
        <w:t> </w:t>
      </w:r>
      <w:r>
        <w:rPr>
          <w:sz w:val="28"/>
          <w:u w:val="single"/>
        </w:rPr>
        <w:t>Court</w:t>
      </w:r>
      <w:r>
        <w:rPr>
          <w:spacing w:val="44"/>
          <w:sz w:val="28"/>
          <w:u w:val="single"/>
        </w:rPr>
        <w:t> </w:t>
      </w:r>
      <w:r>
        <w:rPr>
          <w:sz w:val="28"/>
          <w:u w:val="single"/>
        </w:rPr>
        <w:t>of</w:t>
      </w:r>
      <w:r>
        <w:rPr>
          <w:spacing w:val="44"/>
          <w:sz w:val="28"/>
          <w:u w:val="single"/>
        </w:rPr>
        <w:t> </w:t>
      </w:r>
      <w:r>
        <w:rPr>
          <w:sz w:val="28"/>
          <w:u w:val="single"/>
        </w:rPr>
        <w:t>El</w:t>
      </w:r>
      <w:r>
        <w:rPr>
          <w:spacing w:val="42"/>
          <w:sz w:val="28"/>
          <w:u w:val="single"/>
        </w:rPr>
        <w:t> </w:t>
      </w:r>
      <w:r>
        <w:rPr>
          <w:sz w:val="28"/>
          <w:u w:val="single"/>
        </w:rPr>
        <w:t>Paso</w:t>
      </w:r>
      <w:r>
        <w:rPr>
          <w:spacing w:val="44"/>
          <w:sz w:val="28"/>
          <w:u w:val="single"/>
        </w:rPr>
        <w:t> </w:t>
      </w:r>
      <w:r>
        <w:rPr>
          <w:sz w:val="28"/>
          <w:u w:val="single"/>
        </w:rPr>
        <w:t>Cty.</w:t>
      </w:r>
      <w:r>
        <w:rPr>
          <w:sz w:val="28"/>
        </w:rPr>
        <w:t>,</w:t>
      </w:r>
      <w:r>
        <w:rPr>
          <w:spacing w:val="44"/>
          <w:sz w:val="28"/>
        </w:rPr>
        <w:t> </w:t>
      </w:r>
      <w:r>
        <w:rPr>
          <w:sz w:val="28"/>
        </w:rPr>
        <w:t>869</w:t>
      </w:r>
      <w:r>
        <w:rPr>
          <w:spacing w:val="44"/>
          <w:sz w:val="28"/>
        </w:rPr>
        <w:t> </w:t>
      </w:r>
      <w:r>
        <w:rPr>
          <w:sz w:val="28"/>
        </w:rPr>
        <w:t>P.2d</w:t>
      </w:r>
      <w:r>
        <w:rPr>
          <w:spacing w:val="44"/>
          <w:sz w:val="28"/>
        </w:rPr>
        <w:t> </w:t>
      </w:r>
      <w:r>
        <w:rPr>
          <w:sz w:val="28"/>
        </w:rPr>
        <w:t>1281,</w:t>
      </w:r>
      <w:r>
        <w:rPr>
          <w:spacing w:val="43"/>
          <w:sz w:val="28"/>
        </w:rPr>
        <w:t> </w:t>
      </w:r>
      <w:r>
        <w:rPr>
          <w:sz w:val="28"/>
        </w:rPr>
        <w:t>1286</w:t>
      </w:r>
    </w:p>
    <w:p>
      <w:pPr>
        <w:pStyle w:val="BodyText"/>
        <w:ind w:left="380"/>
      </w:pPr>
      <w:r>
        <w:rPr/>
        <w:t>(Colo. 1994).</w:t>
      </w:r>
    </w:p>
    <w:p>
      <w:pPr>
        <w:pStyle w:val="BodyText"/>
      </w:pPr>
    </w:p>
    <w:p>
      <w:pPr>
        <w:pStyle w:val="ListParagraph"/>
        <w:numPr>
          <w:ilvl w:val="0"/>
          <w:numId w:val="1"/>
        </w:numPr>
        <w:tabs>
          <w:tab w:pos="1461" w:val="left" w:leader="none"/>
        </w:tabs>
        <w:spacing w:line="480" w:lineRule="auto" w:before="0" w:after="0"/>
        <w:ind w:left="380" w:right="461" w:firstLine="720"/>
        <w:jc w:val="left"/>
        <w:rPr>
          <w:sz w:val="28"/>
        </w:rPr>
      </w:pPr>
      <w:r>
        <w:rPr>
          <w:sz w:val="28"/>
        </w:rPr>
        <w:t>Courts have found that the use of language that may be confusing or suggestive to a fact finder should be excluded from the trial portion of a matter. </w:t>
      </w:r>
      <w:r>
        <w:rPr>
          <w:i/>
          <w:sz w:val="28"/>
        </w:rPr>
        <w:t>See </w:t>
      </w:r>
      <w:r>
        <w:rPr>
          <w:i/>
          <w:sz w:val="28"/>
        </w:rPr>
        <w:t>Jackson v. State</w:t>
      </w:r>
      <w:r>
        <w:rPr>
          <w:sz w:val="28"/>
        </w:rPr>
        <w:t>, 600 A.2d 21, 24 (Del. 1991) (“We agree with the defendant that the word ‘victim’ should not be used in a case where the commission of a crime is in dispute.”); </w:t>
      </w:r>
      <w:r>
        <w:rPr>
          <w:i/>
          <w:sz w:val="28"/>
        </w:rPr>
        <w:t>see also Veteto v. State</w:t>
      </w:r>
      <w:r>
        <w:rPr>
          <w:sz w:val="28"/>
        </w:rPr>
        <w:t>, 8 S.W.3d 805, 816 (Tex. Ct. App. 2000) (“The sole issue of Veteto’s case was whether he committed the various assaults on A.L. Referring to A.L. as the victim instead of the alleged victim lends credence to her testimony that the assaults occurred and that she was, indeed, a</w:t>
      </w:r>
      <w:r>
        <w:rPr>
          <w:spacing w:val="-16"/>
          <w:sz w:val="28"/>
        </w:rPr>
        <w:t> </w:t>
      </w:r>
      <w:r>
        <w:rPr>
          <w:sz w:val="28"/>
        </w:rPr>
        <w:t>victim.”).</w:t>
      </w:r>
    </w:p>
    <w:p>
      <w:pPr>
        <w:pStyle w:val="Heading1"/>
        <w:ind w:right="3558"/>
        <w:rPr>
          <w:u w:val="none"/>
        </w:rPr>
      </w:pPr>
      <w:r>
        <w:rPr>
          <w:u w:val="none"/>
        </w:rPr>
        <w:t>ARGUMENT</w:t>
      </w:r>
    </w:p>
    <w:p>
      <w:pPr>
        <w:spacing w:after="0"/>
        <w:sectPr>
          <w:pgSz w:w="12240" w:h="15840"/>
          <w:pgMar w:header="0" w:footer="1066" w:top="1360" w:bottom="1260" w:left="1060" w:right="1320"/>
        </w:sectPr>
      </w:pPr>
    </w:p>
    <w:p>
      <w:pPr>
        <w:pStyle w:val="ListParagraph"/>
        <w:numPr>
          <w:ilvl w:val="0"/>
          <w:numId w:val="1"/>
        </w:numPr>
        <w:tabs>
          <w:tab w:pos="1820" w:val="left" w:leader="none"/>
        </w:tabs>
        <w:spacing w:line="480" w:lineRule="auto" w:before="80" w:after="0"/>
        <w:ind w:left="380" w:right="118" w:firstLine="720"/>
        <w:jc w:val="both"/>
        <w:rPr>
          <w:sz w:val="28"/>
        </w:rPr>
      </w:pPr>
      <w:r>
        <w:rPr>
          <w:sz w:val="28"/>
        </w:rPr>
        <w:t>Police reports indicate that several lay witnesses associated with the prosecution made statements to officers suggesting that Mr. Nickal “abused” drugs. None of these witnesses have training in identifying or treating substance</w:t>
      </w:r>
      <w:r>
        <w:rPr>
          <w:spacing w:val="-18"/>
          <w:sz w:val="28"/>
        </w:rPr>
        <w:t> </w:t>
      </w:r>
      <w:r>
        <w:rPr>
          <w:sz w:val="28"/>
        </w:rPr>
        <w:t>use.</w:t>
      </w:r>
    </w:p>
    <w:p>
      <w:pPr>
        <w:pStyle w:val="ListParagraph"/>
        <w:numPr>
          <w:ilvl w:val="0"/>
          <w:numId w:val="1"/>
        </w:numPr>
        <w:tabs>
          <w:tab w:pos="1820" w:val="left" w:leader="none"/>
        </w:tabs>
        <w:spacing w:line="480" w:lineRule="auto" w:before="0" w:after="0"/>
        <w:ind w:left="380" w:right="116" w:firstLine="720"/>
        <w:jc w:val="both"/>
        <w:rPr>
          <w:sz w:val="28"/>
        </w:rPr>
      </w:pPr>
      <w:r>
        <w:rPr>
          <w:sz w:val="28"/>
        </w:rPr>
        <w:t>Under the DSM, what is colloquially known as “drug abuse” is referred to as a “substance use disorder.” A substance use disorder is diagnosed based upon a specific set of criteria, often specific to the type of substance alleged to be used in a non-prescribed manner. According to the DSM-V, an important characteristic of a substance use disorder is an “underlying change in brain circuits that may persists beyond detoxification…,” and diagnosis is based on a “…pathological pattern of behaviors related to use of the substance.” A</w:t>
      </w:r>
      <w:r>
        <w:rPr>
          <w:sz w:val="22"/>
        </w:rPr>
        <w:t>MERICAN </w:t>
      </w:r>
      <w:r>
        <w:rPr>
          <w:sz w:val="28"/>
        </w:rPr>
        <w:t>P</w:t>
      </w:r>
      <w:r>
        <w:rPr>
          <w:sz w:val="22"/>
        </w:rPr>
        <w:t>SYCHIATRIC </w:t>
      </w:r>
      <w:r>
        <w:rPr>
          <w:sz w:val="28"/>
        </w:rPr>
        <w:t>A</w:t>
      </w:r>
      <w:r>
        <w:rPr>
          <w:sz w:val="22"/>
        </w:rPr>
        <w:t>SSOCIATION</w:t>
      </w:r>
      <w:r>
        <w:rPr>
          <w:sz w:val="28"/>
        </w:rPr>
        <w:t>, DSM-V, 483</w:t>
      </w:r>
      <w:r>
        <w:rPr>
          <w:spacing w:val="-3"/>
          <w:sz w:val="28"/>
        </w:rPr>
        <w:t> </w:t>
      </w:r>
      <w:r>
        <w:rPr>
          <w:sz w:val="28"/>
        </w:rPr>
        <w:t>(2013).</w:t>
      </w:r>
    </w:p>
    <w:p>
      <w:pPr>
        <w:pStyle w:val="ListParagraph"/>
        <w:numPr>
          <w:ilvl w:val="0"/>
          <w:numId w:val="1"/>
        </w:numPr>
        <w:tabs>
          <w:tab w:pos="1820" w:val="left" w:leader="none"/>
        </w:tabs>
        <w:spacing w:line="480" w:lineRule="auto" w:before="0" w:after="0"/>
        <w:ind w:left="380" w:right="116" w:firstLine="719"/>
        <w:jc w:val="both"/>
        <w:rPr>
          <w:sz w:val="28"/>
        </w:rPr>
      </w:pPr>
      <w:r>
        <w:rPr>
          <w:sz w:val="28"/>
        </w:rPr>
        <w:t>Unless a witness has personally examined Mr. Nickal, and has expertise in diagnosing substance use disorders, their lay commentary about believed or suspected substance use by Mr. Nickal is unhelpful and misleading to the</w:t>
      </w:r>
      <w:r>
        <w:rPr>
          <w:spacing w:val="-17"/>
          <w:sz w:val="28"/>
        </w:rPr>
        <w:t> </w:t>
      </w:r>
      <w:r>
        <w:rPr>
          <w:sz w:val="28"/>
        </w:rPr>
        <w:t>jury.</w:t>
      </w:r>
    </w:p>
    <w:p>
      <w:pPr>
        <w:pStyle w:val="ListParagraph"/>
        <w:numPr>
          <w:ilvl w:val="0"/>
          <w:numId w:val="1"/>
        </w:numPr>
        <w:tabs>
          <w:tab w:pos="1461" w:val="left" w:leader="none"/>
        </w:tabs>
        <w:spacing w:line="480" w:lineRule="auto" w:before="0" w:after="0"/>
        <w:ind w:left="380" w:right="118" w:firstLine="719"/>
        <w:jc w:val="both"/>
        <w:rPr>
          <w:sz w:val="28"/>
        </w:rPr>
      </w:pPr>
      <w:r>
        <w:rPr>
          <w:sz w:val="28"/>
        </w:rPr>
        <w:t>This kind of misleading and confusing testimony is the exact type of harm sought to be avoided by C.R.E. 403. As such, it should be excluded from trial due to its tendency to suggest “considerations extraneous to the merits of the [case].” </w:t>
      </w:r>
      <w:r>
        <w:rPr>
          <w:i/>
          <w:sz w:val="28"/>
        </w:rPr>
        <w:t>El Paso </w:t>
      </w:r>
      <w:r>
        <w:rPr>
          <w:i/>
          <w:sz w:val="28"/>
        </w:rPr>
        <w:t>Cty</w:t>
      </w:r>
      <w:r>
        <w:rPr>
          <w:sz w:val="28"/>
        </w:rPr>
        <w:t>., 869 P.2d at</w:t>
      </w:r>
      <w:r>
        <w:rPr>
          <w:spacing w:val="-3"/>
          <w:sz w:val="28"/>
        </w:rPr>
        <w:t> </w:t>
      </w:r>
      <w:r>
        <w:rPr>
          <w:sz w:val="28"/>
        </w:rPr>
        <w:t>1286.</w:t>
      </w:r>
    </w:p>
    <w:p>
      <w:pPr>
        <w:pStyle w:val="BodyText"/>
        <w:spacing w:line="480" w:lineRule="auto"/>
        <w:ind w:left="379" w:right="118" w:firstLine="720"/>
        <w:jc w:val="both"/>
      </w:pPr>
      <w:r>
        <w:rPr/>
        <w:t>WHEREFORE, Mr. Nickal objects to the use of the terms substance abuse, Adderall abuse, drug abuse, substance use disorder, abusing drugs, and any of their</w:t>
      </w:r>
    </w:p>
    <w:p>
      <w:pPr>
        <w:spacing w:after="0" w:line="480" w:lineRule="auto"/>
        <w:jc w:val="both"/>
        <w:sectPr>
          <w:pgSz w:w="12240" w:h="15840"/>
          <w:pgMar w:header="0" w:footer="1066" w:top="1360" w:bottom="1260" w:left="1060" w:right="1320"/>
        </w:sectPr>
      </w:pPr>
    </w:p>
    <w:p>
      <w:pPr>
        <w:pStyle w:val="BodyText"/>
        <w:spacing w:line="480" w:lineRule="auto" w:before="80"/>
        <w:ind w:left="380"/>
      </w:pPr>
      <w:r>
        <w:rPr/>
        <w:t>synonyms by any witness not qualified as an expert in substance use disorders as defined in the DSM-, who has personally evaluated Mr. Nickal.</w:t>
      </w:r>
    </w:p>
    <w:p>
      <w:pPr>
        <w:pStyle w:val="BodyText"/>
        <w:ind w:left="380"/>
      </w:pPr>
      <w:r>
        <w:rPr/>
        <w:t>Dated: July 20, 2017</w:t>
      </w:r>
    </w:p>
    <w:p>
      <w:pPr>
        <w:pStyle w:val="BodyText"/>
        <w:rPr>
          <w:sz w:val="30"/>
        </w:rPr>
      </w:pPr>
    </w:p>
    <w:p>
      <w:pPr>
        <w:pStyle w:val="BodyText"/>
        <w:rPr>
          <w:sz w:val="30"/>
        </w:rPr>
      </w:pPr>
    </w:p>
    <w:p>
      <w:pPr>
        <w:pStyle w:val="BodyText"/>
        <w:spacing w:before="269"/>
        <w:ind w:left="379"/>
      </w:pPr>
      <w:r>
        <w:rPr/>
        <w:t>Respectfully Submitted,</w:t>
      </w:r>
    </w:p>
    <w:p>
      <w:pPr>
        <w:pStyle w:val="BodyText"/>
        <w:rPr>
          <w:sz w:val="30"/>
        </w:rPr>
      </w:pPr>
    </w:p>
    <w:p>
      <w:pPr>
        <w:spacing w:before="208"/>
        <w:ind w:left="290" w:right="0" w:firstLine="0"/>
        <w:jc w:val="left"/>
        <w:rPr>
          <w:sz w:val="24"/>
        </w:rPr>
      </w:pPr>
      <w:r>
        <w:rPr>
          <w:sz w:val="24"/>
        </w:rPr>
        <w:t>/s/</w:t>
      </w:r>
    </w:p>
    <w:p>
      <w:pPr>
        <w:pStyle w:val="BodyText"/>
        <w:spacing w:before="6"/>
        <w:rPr>
          <w:sz w:val="16"/>
        </w:rPr>
      </w:pPr>
      <w:r>
        <w:rPr/>
        <w:pict>
          <v:line style="position:absolute;mso-position-horizontal-relative:page;mso-position-vertical-relative:paragraph;z-index:-1024;mso-wrap-distance-left:0;mso-wrap-distance-right:0" from="72pt,11.565027pt" to="270.000009pt,11.565027pt" stroked="true" strokeweight=".6pt" strokecolor="#000000">
            <v:stroke dashstyle="solid"/>
            <w10:wrap type="topAndBottom"/>
          </v:line>
        </w:pict>
      </w:r>
    </w:p>
    <w:p>
      <w:pPr>
        <w:pStyle w:val="BodyText"/>
        <w:spacing w:before="4"/>
        <w:ind w:left="380" w:right="7173"/>
      </w:pPr>
      <w:r>
        <w:rPr/>
        <w:t>Patrick Mulligan Registration # 16981</w:t>
      </w:r>
    </w:p>
    <w:p>
      <w:pPr>
        <w:pStyle w:val="BodyText"/>
        <w:rPr>
          <w:sz w:val="20"/>
        </w:rPr>
      </w:pPr>
    </w:p>
    <w:p>
      <w:pPr>
        <w:pStyle w:val="BodyText"/>
        <w:spacing w:before="3"/>
        <w:rPr>
          <w:sz w:val="13"/>
        </w:rPr>
      </w:pPr>
      <w:r>
        <w:rPr/>
        <w:drawing>
          <wp:anchor distT="0" distB="0" distL="0" distR="0" allowOverlap="1" layoutInCell="1" locked="0" behindDoc="0" simplePos="0" relativeHeight="1">
            <wp:simplePos x="0" y="0"/>
            <wp:positionH relativeFrom="page">
              <wp:posOffset>739317</wp:posOffset>
            </wp:positionH>
            <wp:positionV relativeFrom="paragraph">
              <wp:posOffset>119663</wp:posOffset>
            </wp:positionV>
            <wp:extent cx="2148833" cy="603503"/>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2148833" cy="603503"/>
                    </a:xfrm>
                    <a:prstGeom prst="rect">
                      <a:avLst/>
                    </a:prstGeom>
                  </pic:spPr>
                </pic:pic>
              </a:graphicData>
            </a:graphic>
          </wp:anchor>
        </w:drawing>
      </w:r>
      <w:r>
        <w:rPr/>
        <w:pict>
          <v:line style="position:absolute;mso-position-horizontal-relative:page;mso-position-vertical-relative:paragraph;z-index:-976;mso-wrap-distance-left:0;mso-wrap-distance-right:0" from="72pt,65.228806pt" to="316.957571pt,65.228806pt" stroked="true" strokeweight=".699pt" strokecolor="#000000">
            <v:stroke dashstyle="solid"/>
            <w10:wrap type="topAndBottom"/>
          </v:line>
        </w:pict>
      </w:r>
    </w:p>
    <w:p>
      <w:pPr>
        <w:pStyle w:val="BodyText"/>
        <w:rPr>
          <w:sz w:val="8"/>
        </w:rPr>
      </w:pPr>
    </w:p>
    <w:p>
      <w:pPr>
        <w:pStyle w:val="BodyText"/>
        <w:spacing w:line="315" w:lineRule="exact" w:before="10"/>
        <w:ind w:left="379"/>
      </w:pPr>
      <w:r>
        <w:rPr/>
        <w:t>Jennifer Longtin, #43509</w:t>
      </w:r>
    </w:p>
    <w:p>
      <w:pPr>
        <w:pStyle w:val="BodyText"/>
        <w:spacing w:line="315" w:lineRule="exact"/>
        <w:ind w:left="379"/>
      </w:pPr>
      <w:r>
        <w:rPr/>
        <w:t>The Law Office of Jennifer E. Longtin, LLC</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
        <w:rPr>
          <w:sz w:val="42"/>
        </w:rPr>
      </w:pPr>
    </w:p>
    <w:p>
      <w:pPr>
        <w:pStyle w:val="Heading1"/>
        <w:spacing w:line="240" w:lineRule="auto"/>
        <w:ind w:right="3559"/>
        <w:rPr>
          <w:u w:val="none"/>
        </w:rPr>
      </w:pPr>
      <w:r>
        <w:rPr>
          <w:u w:val="single"/>
        </w:rPr>
        <w:t>Certificate of Service</w:t>
      </w:r>
    </w:p>
    <w:p>
      <w:pPr>
        <w:pStyle w:val="BodyText"/>
        <w:spacing w:before="2"/>
        <w:rPr>
          <w:b/>
          <w:sz w:val="19"/>
        </w:rPr>
      </w:pPr>
    </w:p>
    <w:p>
      <w:pPr>
        <w:pStyle w:val="BodyText"/>
        <w:spacing w:line="480" w:lineRule="auto" w:before="100" w:after="3"/>
        <w:ind w:left="379" w:right="668" w:firstLine="720"/>
      </w:pPr>
      <w:r>
        <w:rPr/>
        <w:t>The undersigned does hereby certify that on July 20, 2017, s/he served the foregoing OBJECTION to all opposing counsel of record via ICCES:</w:t>
      </w:r>
    </w:p>
    <w:p>
      <w:pPr>
        <w:pStyle w:val="BodyText"/>
        <w:ind w:left="383"/>
        <w:rPr>
          <w:sz w:val="20"/>
        </w:rPr>
      </w:pPr>
      <w:r>
        <w:rPr>
          <w:sz w:val="20"/>
        </w:rPr>
        <w:drawing>
          <wp:inline distT="0" distB="0" distL="0" distR="0">
            <wp:extent cx="2288402" cy="569309"/>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2288402" cy="569309"/>
                    </a:xfrm>
                    <a:prstGeom prst="rect">
                      <a:avLst/>
                    </a:prstGeom>
                  </pic:spPr>
                </pic:pic>
              </a:graphicData>
            </a:graphic>
          </wp:inline>
        </w:drawing>
      </w:r>
      <w:r>
        <w:rPr>
          <w:sz w:val="20"/>
        </w:rPr>
      </w:r>
    </w:p>
    <w:p>
      <w:pPr>
        <w:pStyle w:val="BodyText"/>
        <w:spacing w:before="9"/>
        <w:rPr>
          <w:sz w:val="19"/>
        </w:rPr>
      </w:pPr>
      <w:r>
        <w:rPr/>
        <w:pict>
          <v:line style="position:absolute;mso-position-horizontal-relative:page;mso-position-vertical-relative:paragraph;z-index:-952;mso-wrap-distance-left:0;mso-wrap-distance-right:0" from="72.002762pt,13.473904pt" to="226.006449pt,13.473904pt" stroked="true" strokeweight=".699pt" strokecolor="#000000">
            <v:stroke dashstyle="solid"/>
            <w10:wrap type="topAndBottom"/>
          </v:line>
        </w:pict>
      </w:r>
    </w:p>
    <w:p>
      <w:pPr>
        <w:spacing w:after="0"/>
        <w:rPr>
          <w:sz w:val="19"/>
        </w:rPr>
        <w:sectPr>
          <w:pgSz w:w="12240" w:h="15840"/>
          <w:pgMar w:header="0" w:footer="1066" w:top="1360" w:bottom="1260" w:left="1060" w:right="1320"/>
        </w:sectPr>
      </w:pPr>
    </w:p>
    <w:tbl>
      <w:tblPr>
        <w:tblW w:w="0" w:type="auto"/>
        <w:jc w:val="left"/>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6"/>
        <w:gridCol w:w="3420"/>
      </w:tblGrid>
      <w:tr>
        <w:trPr>
          <w:trHeight w:val="1333" w:hRule="atLeast"/>
        </w:trPr>
        <w:tc>
          <w:tcPr>
            <w:tcW w:w="5956" w:type="dxa"/>
          </w:tcPr>
          <w:p>
            <w:pPr>
              <w:pStyle w:val="TableParagraph"/>
              <w:spacing w:line="315" w:lineRule="exact"/>
              <w:ind w:left="107"/>
              <w:rPr>
                <w:sz w:val="28"/>
              </w:rPr>
            </w:pPr>
            <w:r>
              <w:rPr>
                <w:sz w:val="28"/>
              </w:rPr>
              <w:t>COUNTY COURT</w:t>
            </w:r>
          </w:p>
          <w:p>
            <w:pPr>
              <w:pStyle w:val="TableParagraph"/>
              <w:spacing w:line="330" w:lineRule="atLeast" w:before="3"/>
              <w:ind w:left="107" w:right="1178"/>
              <w:rPr>
                <w:sz w:val="28"/>
              </w:rPr>
            </w:pPr>
            <w:r>
              <w:rPr>
                <w:sz w:val="28"/>
              </w:rPr>
              <w:t>JEFFERSON COUNTY, COLORADO 100 JEFFERSON COUNTY PARKWAY GOLDEN, COLORADO 80401</w:t>
            </w:r>
          </w:p>
        </w:tc>
        <w:tc>
          <w:tcPr>
            <w:tcW w:w="3420" w:type="dxa"/>
            <w:vMerge w:val="restart"/>
          </w:tcPr>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2"/>
              <w:rPr>
                <w:sz w:val="27"/>
              </w:rPr>
            </w:pPr>
          </w:p>
          <w:p>
            <w:pPr>
              <w:pStyle w:val="TableParagraph"/>
              <w:ind w:left="519"/>
              <w:rPr>
                <w:sz w:val="28"/>
              </w:rPr>
            </w:pPr>
            <w:r>
              <w:rPr>
                <w:sz w:val="28"/>
              </w:rPr>
              <w:t>COURT USE ONLY</w:t>
            </w:r>
          </w:p>
        </w:tc>
      </w:tr>
      <w:tr>
        <w:trPr>
          <w:trHeight w:val="2665" w:hRule="atLeast"/>
        </w:trPr>
        <w:tc>
          <w:tcPr>
            <w:tcW w:w="5956" w:type="dxa"/>
          </w:tcPr>
          <w:p>
            <w:pPr>
              <w:pStyle w:val="TableParagraph"/>
              <w:spacing w:line="254" w:lineRule="auto"/>
              <w:ind w:left="107" w:right="1364"/>
              <w:rPr>
                <w:b/>
                <w:sz w:val="28"/>
              </w:rPr>
            </w:pPr>
            <w:r>
              <w:rPr>
                <w:b/>
                <w:sz w:val="28"/>
              </w:rPr>
              <w:t>THE PEOPLE OF THE STATE OF COLORADO</w:t>
            </w:r>
          </w:p>
          <w:p>
            <w:pPr>
              <w:pStyle w:val="TableParagraph"/>
              <w:spacing w:line="506" w:lineRule="auto"/>
              <w:ind w:left="107" w:right="4782"/>
              <w:rPr>
                <w:sz w:val="28"/>
              </w:rPr>
            </w:pPr>
            <w:r>
              <w:rPr>
                <w:w w:val="95"/>
                <w:sz w:val="28"/>
              </w:rPr>
              <w:t>Plaintiff, </w:t>
            </w:r>
            <w:r>
              <w:rPr>
                <w:sz w:val="28"/>
              </w:rPr>
              <w:t>v.</w:t>
            </w:r>
          </w:p>
          <w:p>
            <w:pPr>
              <w:pStyle w:val="TableParagraph"/>
              <w:spacing w:before="3"/>
              <w:ind w:left="107"/>
              <w:rPr>
                <w:sz w:val="28"/>
              </w:rPr>
            </w:pPr>
            <w:r>
              <w:rPr>
                <w:b/>
                <w:sz w:val="28"/>
              </w:rPr>
              <w:t>GARY NICKAL</w:t>
            </w:r>
            <w:r>
              <w:rPr>
                <w:sz w:val="28"/>
              </w:rPr>
              <w:t>,</w:t>
            </w:r>
          </w:p>
          <w:p>
            <w:pPr>
              <w:pStyle w:val="TableParagraph"/>
              <w:spacing w:line="312" w:lineRule="exact" w:before="18"/>
              <w:ind w:left="107"/>
              <w:rPr>
                <w:sz w:val="28"/>
              </w:rPr>
            </w:pPr>
            <w:r>
              <w:rPr>
                <w:sz w:val="28"/>
              </w:rPr>
              <w:t>Accused.</w:t>
            </w:r>
          </w:p>
        </w:tc>
        <w:tc>
          <w:tcPr>
            <w:tcW w:w="3420" w:type="dxa"/>
            <w:vMerge/>
            <w:tcBorders>
              <w:top w:val="nil"/>
            </w:tcBorders>
          </w:tcPr>
          <w:p>
            <w:pPr>
              <w:rPr>
                <w:sz w:val="2"/>
                <w:szCs w:val="2"/>
              </w:rPr>
            </w:pPr>
          </w:p>
        </w:tc>
      </w:tr>
      <w:tr>
        <w:trPr>
          <w:trHeight w:val="1667" w:hRule="atLeast"/>
        </w:trPr>
        <w:tc>
          <w:tcPr>
            <w:tcW w:w="5956" w:type="dxa"/>
          </w:tcPr>
          <w:p>
            <w:pPr>
              <w:pStyle w:val="TableParagraph"/>
              <w:rPr>
                <w:rFonts w:ascii="Times New Roman"/>
                <w:sz w:val="26"/>
              </w:rPr>
            </w:pPr>
          </w:p>
        </w:tc>
        <w:tc>
          <w:tcPr>
            <w:tcW w:w="3420" w:type="dxa"/>
          </w:tcPr>
          <w:p>
            <w:pPr>
              <w:pStyle w:val="TableParagraph"/>
              <w:spacing w:before="8"/>
              <w:rPr>
                <w:sz w:val="29"/>
              </w:rPr>
            </w:pPr>
          </w:p>
          <w:p>
            <w:pPr>
              <w:pStyle w:val="TableParagraph"/>
              <w:ind w:left="107"/>
              <w:rPr>
                <w:sz w:val="28"/>
              </w:rPr>
            </w:pPr>
            <w:r>
              <w:rPr>
                <w:sz w:val="28"/>
              </w:rPr>
              <w:t>Case No. 16CR001463</w:t>
            </w:r>
          </w:p>
          <w:p>
            <w:pPr>
              <w:pStyle w:val="TableParagraph"/>
              <w:rPr>
                <w:sz w:val="30"/>
              </w:rPr>
            </w:pPr>
          </w:p>
          <w:p>
            <w:pPr>
              <w:pStyle w:val="TableParagraph"/>
              <w:spacing w:before="9"/>
              <w:rPr>
                <w:sz w:val="30"/>
              </w:rPr>
            </w:pPr>
          </w:p>
          <w:p>
            <w:pPr>
              <w:pStyle w:val="TableParagraph"/>
              <w:spacing w:line="314" w:lineRule="exact" w:before="1"/>
              <w:ind w:left="107"/>
              <w:rPr>
                <w:sz w:val="28"/>
              </w:rPr>
            </w:pPr>
            <w:r>
              <w:rPr>
                <w:sz w:val="28"/>
              </w:rPr>
              <w:t>Division: 12</w:t>
            </w:r>
          </w:p>
        </w:tc>
      </w:tr>
      <w:tr>
        <w:trPr>
          <w:trHeight w:val="666" w:hRule="atLeast"/>
        </w:trPr>
        <w:tc>
          <w:tcPr>
            <w:tcW w:w="9376" w:type="dxa"/>
            <w:gridSpan w:val="2"/>
          </w:tcPr>
          <w:p>
            <w:pPr>
              <w:pStyle w:val="TableParagraph"/>
              <w:spacing w:line="315" w:lineRule="exact"/>
              <w:ind w:left="526" w:right="519"/>
              <w:jc w:val="center"/>
              <w:rPr>
                <w:b/>
                <w:sz w:val="28"/>
              </w:rPr>
            </w:pPr>
            <w:r>
              <w:rPr>
                <w:b/>
                <w:sz w:val="28"/>
              </w:rPr>
              <w:t>ORDER RE: OBJECTION TO NON-CLINICAL USE OF TERM</w:t>
            </w:r>
          </w:p>
          <w:p>
            <w:pPr>
              <w:pStyle w:val="TableParagraph"/>
              <w:spacing w:line="313" w:lineRule="exact" w:before="18"/>
              <w:ind w:left="526" w:right="519"/>
              <w:jc w:val="center"/>
              <w:rPr>
                <w:b/>
                <w:sz w:val="28"/>
              </w:rPr>
            </w:pPr>
            <w:r>
              <w:rPr>
                <w:b/>
                <w:sz w:val="28"/>
              </w:rPr>
              <w:t>“SUBSTANCE ABUSE” AND ITS SYNONYMS</w:t>
            </w:r>
          </w:p>
        </w:tc>
      </w:tr>
    </w:tbl>
    <w:p>
      <w:pPr>
        <w:pStyle w:val="BodyText"/>
        <w:spacing w:before="2"/>
        <w:rPr>
          <w:sz w:val="19"/>
        </w:rPr>
      </w:pPr>
    </w:p>
    <w:p>
      <w:pPr>
        <w:pStyle w:val="BodyText"/>
        <w:spacing w:before="100"/>
        <w:ind w:left="380"/>
      </w:pPr>
      <w:r>
        <w:rPr/>
        <w:t>This Honorable Court hereby:</w:t>
      </w:r>
    </w:p>
    <w:p>
      <w:pPr>
        <w:pStyle w:val="BodyText"/>
        <w:spacing w:before="1"/>
        <w:rPr>
          <w:sz w:val="19"/>
        </w:rPr>
      </w:pPr>
    </w:p>
    <w:p>
      <w:pPr>
        <w:pStyle w:val="BodyText"/>
        <w:tabs>
          <w:tab w:pos="1220" w:val="left" w:leader="none"/>
        </w:tabs>
        <w:spacing w:before="100"/>
        <w:ind w:left="380"/>
      </w:pPr>
      <w:r>
        <w:rPr>
          <w:w w:val="99"/>
          <w:u w:val="single"/>
        </w:rPr>
        <w:t> </w:t>
      </w:r>
      <w:r>
        <w:rPr>
          <w:u w:val="single"/>
        </w:rPr>
        <w:tab/>
      </w:r>
      <w:r>
        <w:rPr>
          <w:spacing w:val="-1"/>
        </w:rPr>
        <w:t> </w:t>
      </w:r>
      <w:r>
        <w:rPr/>
        <w:t>Grants</w:t>
      </w:r>
    </w:p>
    <w:p>
      <w:pPr>
        <w:pStyle w:val="BodyText"/>
        <w:spacing w:before="1"/>
        <w:rPr>
          <w:sz w:val="19"/>
        </w:rPr>
      </w:pPr>
    </w:p>
    <w:p>
      <w:pPr>
        <w:pStyle w:val="BodyText"/>
        <w:tabs>
          <w:tab w:pos="1220" w:val="left" w:leader="none"/>
        </w:tabs>
        <w:spacing w:before="100"/>
        <w:ind w:left="379"/>
      </w:pPr>
      <w:r>
        <w:rPr>
          <w:w w:val="99"/>
          <w:u w:val="single"/>
        </w:rPr>
        <w:t> </w:t>
      </w:r>
      <w:r>
        <w:rPr>
          <w:u w:val="single"/>
        </w:rPr>
        <w:tab/>
      </w:r>
      <w:r>
        <w:rPr>
          <w:spacing w:val="-1"/>
        </w:rPr>
        <w:t> </w:t>
      </w:r>
      <w:r>
        <w:rPr/>
        <w:t>Denies</w:t>
      </w:r>
    </w:p>
    <w:p>
      <w:pPr>
        <w:pStyle w:val="BodyText"/>
      </w:pPr>
    </w:p>
    <w:p>
      <w:pPr>
        <w:pStyle w:val="BodyText"/>
        <w:ind w:left="379"/>
      </w:pPr>
      <w:r>
        <w:rPr/>
        <w:t>The above captioned motion.</w:t>
      </w:r>
    </w:p>
    <w:p>
      <w:pPr>
        <w:pStyle w:val="BodyText"/>
        <w:rPr>
          <w:sz w:val="20"/>
        </w:rPr>
      </w:pPr>
    </w:p>
    <w:p>
      <w:pPr>
        <w:pStyle w:val="BodyText"/>
        <w:rPr>
          <w:sz w:val="20"/>
        </w:rPr>
      </w:pPr>
    </w:p>
    <w:p>
      <w:pPr>
        <w:pStyle w:val="BodyText"/>
        <w:spacing w:before="3"/>
        <w:rPr>
          <w:sz w:val="14"/>
        </w:rPr>
      </w:pPr>
      <w:r>
        <w:rPr/>
        <w:pict>
          <v:line style="position:absolute;mso-position-horizontal-relative:page;mso-position-vertical-relative:paragraph;z-index:-928;mso-wrap-distance-left:0;mso-wrap-distance-right:0" from="70.5pt,10.7575pt" to="541.5pt,10.7575pt" stroked="true" strokeweight="1.5pt" strokecolor="#000000">
            <v:stroke dashstyle="solid"/>
            <w10:wrap type="topAndBottom"/>
          </v:line>
        </w:pict>
      </w:r>
      <w:r>
        <w:rPr/>
        <w:pict>
          <v:line style="position:absolute;mso-position-horizontal-relative:page;mso-position-vertical-relative:paragraph;z-index:-904;mso-wrap-distance-left:0;mso-wrap-distance-right:0" from="70.5pt,28.997499pt" to="541.5pt,28.997499pt" stroked="true" strokeweight="1.5pt" strokecolor="#000000">
            <v:stroke dashstyle="solid"/>
            <w10:wrap type="topAndBottom"/>
          </v:line>
        </w:pict>
      </w:r>
      <w:r>
        <w:rPr/>
        <w:pict>
          <v:line style="position:absolute;mso-position-horizontal-relative:page;mso-position-vertical-relative:paragraph;z-index:-880;mso-wrap-distance-left:0;mso-wrap-distance-right:0" from="70.5pt,48.2575pt" to="541.5pt,48.2575pt" stroked="true" strokeweight="1.5pt" strokecolor="#000000">
            <v:stroke dashstyle="solid"/>
            <w10:wrap type="topAndBottom"/>
          </v:line>
        </w:pict>
      </w:r>
    </w:p>
    <w:p>
      <w:pPr>
        <w:pStyle w:val="BodyText"/>
        <w:spacing w:before="8"/>
        <w:rPr>
          <w:sz w:val="23"/>
        </w:rPr>
      </w:pPr>
    </w:p>
    <w:p>
      <w:pPr>
        <w:pStyle w:val="BodyText"/>
        <w:spacing w:before="5"/>
        <w:rPr>
          <w:sz w:val="25"/>
        </w:rPr>
      </w:pPr>
    </w:p>
    <w:p>
      <w:pPr>
        <w:pStyle w:val="BodyText"/>
        <w:spacing w:before="5"/>
        <w:rPr>
          <w:sz w:val="16"/>
        </w:rPr>
      </w:pPr>
    </w:p>
    <w:p>
      <w:pPr>
        <w:pStyle w:val="BodyText"/>
        <w:tabs>
          <w:tab w:pos="2811" w:val="left" w:leader="none"/>
          <w:tab w:pos="6563" w:val="left" w:leader="none"/>
        </w:tabs>
        <w:spacing w:before="100"/>
        <w:ind w:left="380"/>
      </w:pPr>
      <w:r>
        <w:rPr/>
        <w:t>Ordered</w:t>
      </w:r>
      <w:r>
        <w:rPr>
          <w:spacing w:val="-2"/>
        </w:rPr>
        <w:t> </w:t>
      </w:r>
      <w:r>
        <w:rPr/>
        <w:t>this</w:t>
      </w:r>
      <w:r>
        <w:rPr>
          <w:u w:val="single"/>
        </w:rPr>
        <w:t> </w:t>
        <w:tab/>
      </w:r>
      <w:r>
        <w:rPr/>
        <w:t>day</w:t>
      </w:r>
      <w:r>
        <w:rPr>
          <w:spacing w:val="-2"/>
        </w:rPr>
        <w:t> </w:t>
      </w:r>
      <w:r>
        <w:rPr/>
        <w:t>of</w:t>
      </w:r>
      <w:r>
        <w:rPr>
          <w:u w:val="single"/>
        </w:rPr>
        <w:t> </w:t>
        <w:tab/>
      </w:r>
      <w:r>
        <w:rPr/>
        <w:t>,</w:t>
      </w:r>
      <w:r>
        <w:rPr>
          <w:spacing w:val="-1"/>
        </w:rPr>
        <w:t> </w:t>
      </w:r>
      <w:r>
        <w:rPr/>
        <w:t>2017.</w:t>
      </w:r>
    </w:p>
    <w:p>
      <w:pPr>
        <w:pStyle w:val="BodyText"/>
        <w:rPr>
          <w:sz w:val="20"/>
        </w:rPr>
      </w:pPr>
    </w:p>
    <w:p>
      <w:pPr>
        <w:pStyle w:val="BodyText"/>
        <w:rPr>
          <w:sz w:val="20"/>
        </w:rPr>
      </w:pPr>
    </w:p>
    <w:p>
      <w:pPr>
        <w:pStyle w:val="BodyText"/>
        <w:rPr>
          <w:sz w:val="20"/>
        </w:rPr>
      </w:pPr>
    </w:p>
    <w:p>
      <w:pPr>
        <w:pStyle w:val="BodyText"/>
        <w:spacing w:before="10"/>
        <w:rPr>
          <w:sz w:val="15"/>
        </w:rPr>
      </w:pPr>
      <w:r>
        <w:rPr/>
        <w:pict>
          <v:line style="position:absolute;mso-position-horizontal-relative:page;mso-position-vertical-relative:paragraph;z-index:-856;mso-wrap-distance-left:0;mso-wrap-distance-right:0" from="72.013977pt,11.25188pt" to="246.931745pt,11.25188pt" stroked="true" strokeweight=".699pt" strokecolor="#000000">
            <v:stroke dashstyle="solid"/>
            <w10:wrap type="topAndBottom"/>
          </v:line>
        </w:pict>
      </w:r>
    </w:p>
    <w:p>
      <w:pPr>
        <w:pStyle w:val="BodyText"/>
        <w:spacing w:before="9"/>
        <w:ind w:left="380"/>
      </w:pPr>
      <w:r>
        <w:rPr/>
        <w:t>Honorable District Court Judge</w:t>
      </w:r>
    </w:p>
    <w:sectPr>
      <w:pgSz w:w="12240" w:h="15840"/>
      <w:pgMar w:header="0" w:footer="1066" w:top="1440" w:bottom="1260" w:left="10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179993pt;margin-top:727.678223pt;width:9.65pt;height:15.5pt;mso-position-horizontal-relative:page;mso-position-vertical-relative:page;z-index:-6232" type="#_x0000_t202" filled="false" stroked="false">
          <v:textbox inset="0,0,0,0">
            <w:txbxContent>
              <w:p>
                <w:pPr>
                  <w:spacing w:before="20"/>
                  <w:ind w:left="4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79" w:hanging="720"/>
        <w:jc w:val="left"/>
      </w:pPr>
      <w:rPr>
        <w:rFonts w:hint="default" w:ascii="Garamond" w:hAnsi="Garamond" w:eastAsia="Garamond" w:cs="Garamond"/>
        <w:spacing w:val="-1"/>
        <w:w w:val="99"/>
        <w:sz w:val="28"/>
        <w:szCs w:val="28"/>
      </w:rPr>
    </w:lvl>
    <w:lvl w:ilvl="1">
      <w:start w:val="0"/>
      <w:numFmt w:val="bullet"/>
      <w:lvlText w:val="•"/>
      <w:lvlJc w:val="left"/>
      <w:pPr>
        <w:ind w:left="1328" w:hanging="720"/>
      </w:pPr>
      <w:rPr>
        <w:rFonts w:hint="default"/>
      </w:rPr>
    </w:lvl>
    <w:lvl w:ilvl="2">
      <w:start w:val="0"/>
      <w:numFmt w:val="bullet"/>
      <w:lvlText w:val="•"/>
      <w:lvlJc w:val="left"/>
      <w:pPr>
        <w:ind w:left="2276" w:hanging="720"/>
      </w:pPr>
      <w:rPr>
        <w:rFonts w:hint="default"/>
      </w:rPr>
    </w:lvl>
    <w:lvl w:ilvl="3">
      <w:start w:val="0"/>
      <w:numFmt w:val="bullet"/>
      <w:lvlText w:val="•"/>
      <w:lvlJc w:val="left"/>
      <w:pPr>
        <w:ind w:left="3224" w:hanging="720"/>
      </w:pPr>
      <w:rPr>
        <w:rFonts w:hint="default"/>
      </w:rPr>
    </w:lvl>
    <w:lvl w:ilvl="4">
      <w:start w:val="0"/>
      <w:numFmt w:val="bullet"/>
      <w:lvlText w:val="•"/>
      <w:lvlJc w:val="left"/>
      <w:pPr>
        <w:ind w:left="4172" w:hanging="720"/>
      </w:pPr>
      <w:rPr>
        <w:rFonts w:hint="default"/>
      </w:rPr>
    </w:lvl>
    <w:lvl w:ilvl="5">
      <w:start w:val="0"/>
      <w:numFmt w:val="bullet"/>
      <w:lvlText w:val="•"/>
      <w:lvlJc w:val="left"/>
      <w:pPr>
        <w:ind w:left="5120" w:hanging="720"/>
      </w:pPr>
      <w:rPr>
        <w:rFonts w:hint="default"/>
      </w:rPr>
    </w:lvl>
    <w:lvl w:ilvl="6">
      <w:start w:val="0"/>
      <w:numFmt w:val="bullet"/>
      <w:lvlText w:val="•"/>
      <w:lvlJc w:val="left"/>
      <w:pPr>
        <w:ind w:left="6068" w:hanging="720"/>
      </w:pPr>
      <w:rPr>
        <w:rFonts w:hint="default"/>
      </w:rPr>
    </w:lvl>
    <w:lvl w:ilvl="7">
      <w:start w:val="0"/>
      <w:numFmt w:val="bullet"/>
      <w:lvlText w:val="•"/>
      <w:lvlJc w:val="left"/>
      <w:pPr>
        <w:ind w:left="7016" w:hanging="720"/>
      </w:pPr>
      <w:rPr>
        <w:rFonts w:hint="default"/>
      </w:rPr>
    </w:lvl>
    <w:lvl w:ilvl="8">
      <w:start w:val="0"/>
      <w:numFmt w:val="bullet"/>
      <w:lvlText w:val="•"/>
      <w:lvlJc w:val="left"/>
      <w:pPr>
        <w:ind w:left="7964"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8"/>
      <w:szCs w:val="28"/>
    </w:rPr>
  </w:style>
  <w:style w:styleId="Heading1" w:type="paragraph">
    <w:name w:val="Heading 1"/>
    <w:basedOn w:val="Normal"/>
    <w:uiPriority w:val="1"/>
    <w:qFormat/>
    <w:pPr>
      <w:spacing w:line="315" w:lineRule="exact"/>
      <w:ind w:left="3819"/>
      <w:jc w:val="center"/>
      <w:outlineLvl w:val="1"/>
    </w:pPr>
    <w:rPr>
      <w:rFonts w:ascii="Garamond" w:hAnsi="Garamond" w:eastAsia="Garamond" w:cs="Garamond"/>
      <w:b/>
      <w:bCs/>
      <w:sz w:val="28"/>
      <w:szCs w:val="28"/>
      <w:u w:val="single" w:color="000000"/>
    </w:rPr>
  </w:style>
  <w:style w:styleId="ListParagraph" w:type="paragraph">
    <w:name w:val="List Paragraph"/>
    <w:basedOn w:val="Normal"/>
    <w:uiPriority w:val="1"/>
    <w:qFormat/>
    <w:pPr>
      <w:ind w:left="380" w:right="118" w:firstLine="720"/>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Patrick@MulliganBriet.com" TargetMode="External"/><Relationship Id="rId7" Type="http://schemas.openxmlformats.org/officeDocument/2006/relationships/hyperlink" Target="mailto:Jen@jlongtinlaw.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2019-03-20T18:32:03Z</dcterms:created>
  <dcterms:modified xsi:type="dcterms:W3CDTF">2019-03-20T18:32:03Z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