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6"/>
        <w:gridCol w:w="3420"/>
      </w:tblGrid>
      <w:tr>
        <w:trPr>
          <w:trHeight w:val="1333" w:hRule="atLeast"/>
        </w:trPr>
        <w:tc>
          <w:tcPr>
            <w:tcW w:w="5956" w:type="dxa"/>
          </w:tcPr>
          <w:p>
            <w:pPr>
              <w:pStyle w:val="TableParagraph"/>
              <w:spacing w:line="315" w:lineRule="exact"/>
              <w:rPr>
                <w:sz w:val="28"/>
              </w:rPr>
            </w:pPr>
            <w:r>
              <w:rPr>
                <w:sz w:val="28"/>
              </w:rPr>
              <w:t>DISTRICT COURT</w:t>
            </w:r>
          </w:p>
          <w:p>
            <w:pPr>
              <w:pStyle w:val="TableParagraph"/>
              <w:spacing w:line="330" w:lineRule="atLeast" w:before="3"/>
              <w:ind w:right="1178"/>
              <w:rPr>
                <w:sz w:val="28"/>
              </w:rPr>
            </w:pPr>
            <w:r>
              <w:rPr>
                <w:sz w:val="28"/>
              </w:rPr>
              <w:t>JEFFERSON COUNTY, COLORADO 100 JEFFERSON COUNTY PARKWAY GOLDEN, COLORADO 80401</w:t>
            </w:r>
          </w:p>
        </w:tc>
        <w:tc>
          <w:tcPr>
            <w:tcW w:w="3420" w:type="dxa"/>
            <w:vMerge w:val="restart"/>
          </w:tcPr>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32"/>
              <w:ind w:left="10"/>
              <w:rPr>
                <w:rFonts w:ascii="Times New Roman"/>
                <w:sz w:val="20"/>
              </w:rPr>
            </w:pPr>
            <w:r>
              <w:rPr>
                <w:rFonts w:ascii="Times New Roman"/>
                <w:color w:val="0000FF"/>
                <w:sz w:val="20"/>
              </w:rPr>
              <w:t>DATE FILED: July 27, 2017 11:27 </w:t>
            </w:r>
            <w:r>
              <w:rPr>
                <w:rFonts w:ascii="Times New Roman"/>
                <w:color w:val="0000FF"/>
                <w:spacing w:val="-8"/>
                <w:sz w:val="20"/>
              </w:rPr>
              <w:t>AM </w:t>
            </w:r>
            <w:r>
              <w:rPr>
                <w:rFonts w:ascii="Times New Roman"/>
                <w:color w:val="0000FF"/>
                <w:sz w:val="20"/>
              </w:rPr>
              <w:t>FILING ID:</w:t>
            </w:r>
            <w:r>
              <w:rPr>
                <w:rFonts w:ascii="Times New Roman"/>
                <w:color w:val="0000FF"/>
                <w:spacing w:val="12"/>
                <w:sz w:val="20"/>
              </w:rPr>
              <w:t> </w:t>
            </w:r>
            <w:r>
              <w:rPr>
                <w:rFonts w:ascii="Times New Roman"/>
                <w:color w:val="0000FF"/>
                <w:sz w:val="20"/>
              </w:rPr>
              <w:t>B66D91699A5C1</w:t>
            </w:r>
          </w:p>
          <w:p>
            <w:pPr>
              <w:pStyle w:val="TableParagraph"/>
              <w:spacing w:line="218" w:lineRule="exact"/>
              <w:ind w:left="10"/>
              <w:rPr>
                <w:rFonts w:ascii="Times New Roman"/>
                <w:sz w:val="20"/>
              </w:rPr>
            </w:pPr>
            <w:r>
              <w:rPr>
                <w:rFonts w:ascii="Times New Roman"/>
                <w:color w:val="0000FF"/>
                <w:sz w:val="20"/>
              </w:rPr>
              <w:t>CASE NUMBER: 2016CR1463</w:t>
            </w: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before="8"/>
              <w:ind w:left="0"/>
              <w:rPr>
                <w:rFonts w:ascii="Times New Roman"/>
                <w:sz w:val="24"/>
              </w:rPr>
            </w:pPr>
          </w:p>
          <w:p>
            <w:pPr>
              <w:pStyle w:val="TableParagraph"/>
              <w:ind w:left="520"/>
              <w:rPr>
                <w:sz w:val="28"/>
              </w:rPr>
            </w:pPr>
            <w:r>
              <w:rPr>
                <w:sz w:val="28"/>
              </w:rPr>
              <w:t>COURT USE ONLY</w:t>
            </w:r>
          </w:p>
        </w:tc>
      </w:tr>
      <w:tr>
        <w:trPr>
          <w:trHeight w:val="2665" w:hRule="atLeast"/>
        </w:trPr>
        <w:tc>
          <w:tcPr>
            <w:tcW w:w="5956" w:type="dxa"/>
          </w:tcPr>
          <w:p>
            <w:pPr>
              <w:pStyle w:val="TableParagraph"/>
              <w:spacing w:line="254" w:lineRule="auto"/>
              <w:ind w:right="1364"/>
              <w:rPr>
                <w:b/>
                <w:sz w:val="28"/>
              </w:rPr>
            </w:pPr>
            <w:r>
              <w:rPr>
                <w:b/>
                <w:sz w:val="28"/>
              </w:rPr>
              <w:t>THE PEOPLE OF THE STATE OF COLORADO</w:t>
            </w:r>
          </w:p>
          <w:p>
            <w:pPr>
              <w:pStyle w:val="TableParagraph"/>
              <w:spacing w:line="506" w:lineRule="auto"/>
              <w:ind w:right="4782"/>
              <w:rPr>
                <w:sz w:val="28"/>
              </w:rPr>
            </w:pPr>
            <w:r>
              <w:rPr>
                <w:w w:val="95"/>
                <w:sz w:val="28"/>
              </w:rPr>
              <w:t>Plaintiff, </w:t>
            </w:r>
            <w:r>
              <w:rPr>
                <w:sz w:val="28"/>
              </w:rPr>
              <w:t>v.</w:t>
            </w:r>
          </w:p>
          <w:p>
            <w:pPr>
              <w:pStyle w:val="TableParagraph"/>
              <w:spacing w:before="3"/>
              <w:rPr>
                <w:sz w:val="28"/>
              </w:rPr>
            </w:pPr>
            <w:r>
              <w:rPr>
                <w:b/>
                <w:sz w:val="28"/>
              </w:rPr>
              <w:t>GARY NICKAL</w:t>
            </w:r>
            <w:r>
              <w:rPr>
                <w:sz w:val="28"/>
              </w:rPr>
              <w:t>,</w:t>
            </w:r>
          </w:p>
          <w:p>
            <w:pPr>
              <w:pStyle w:val="TableParagraph"/>
              <w:spacing w:line="312" w:lineRule="exact" w:before="18"/>
              <w:rPr>
                <w:sz w:val="28"/>
              </w:rPr>
            </w:pPr>
            <w:r>
              <w:rPr>
                <w:sz w:val="28"/>
              </w:rPr>
              <w:t>Accused.</w:t>
            </w:r>
          </w:p>
        </w:tc>
        <w:tc>
          <w:tcPr>
            <w:tcW w:w="3420" w:type="dxa"/>
            <w:vMerge/>
            <w:tcBorders>
              <w:top w:val="nil"/>
            </w:tcBorders>
          </w:tcPr>
          <w:p>
            <w:pPr>
              <w:rPr>
                <w:sz w:val="2"/>
                <w:szCs w:val="2"/>
              </w:rPr>
            </w:pPr>
          </w:p>
        </w:tc>
      </w:tr>
      <w:tr>
        <w:trPr>
          <w:trHeight w:val="5084" w:hRule="atLeast"/>
        </w:trPr>
        <w:tc>
          <w:tcPr>
            <w:tcW w:w="5956" w:type="dxa"/>
          </w:tcPr>
          <w:p>
            <w:pPr>
              <w:pStyle w:val="TableParagraph"/>
              <w:spacing w:before="1"/>
              <w:rPr>
                <w:sz w:val="28"/>
              </w:rPr>
            </w:pPr>
            <w:r>
              <w:rPr>
                <w:sz w:val="28"/>
              </w:rPr>
              <w:t>M</w:t>
            </w:r>
            <w:r>
              <w:rPr>
                <w:sz w:val="22"/>
              </w:rPr>
              <w:t>ULLIGAN </w:t>
            </w:r>
            <w:r>
              <w:rPr>
                <w:sz w:val="28"/>
              </w:rPr>
              <w:t>B</w:t>
            </w:r>
            <w:r>
              <w:rPr>
                <w:sz w:val="22"/>
              </w:rPr>
              <w:t>RIET</w:t>
            </w:r>
            <w:r>
              <w:rPr>
                <w:sz w:val="28"/>
              </w:rPr>
              <w:t>, LLC</w:t>
            </w:r>
          </w:p>
          <w:p>
            <w:pPr>
              <w:pStyle w:val="TableParagraph"/>
              <w:spacing w:before="18"/>
              <w:rPr>
                <w:sz w:val="28"/>
              </w:rPr>
            </w:pPr>
            <w:r>
              <w:rPr>
                <w:sz w:val="28"/>
              </w:rPr>
              <w:t>Patrick Mulligan, #16981</w:t>
            </w:r>
          </w:p>
          <w:p>
            <w:pPr>
              <w:pStyle w:val="TableParagraph"/>
              <w:spacing w:before="18"/>
              <w:rPr>
                <w:sz w:val="28"/>
              </w:rPr>
            </w:pPr>
            <w:r>
              <w:rPr>
                <w:sz w:val="28"/>
              </w:rPr>
              <w:t>1801 Broadway, Suite 1203</w:t>
            </w:r>
          </w:p>
          <w:p>
            <w:pPr>
              <w:pStyle w:val="TableParagraph"/>
              <w:spacing w:before="18"/>
              <w:rPr>
                <w:sz w:val="28"/>
              </w:rPr>
            </w:pPr>
            <w:r>
              <w:rPr>
                <w:sz w:val="28"/>
              </w:rPr>
              <w:t>Denver, CO 80202</w:t>
            </w:r>
          </w:p>
          <w:p>
            <w:pPr>
              <w:pStyle w:val="TableParagraph"/>
              <w:spacing w:line="254" w:lineRule="auto" w:before="19"/>
              <w:ind w:right="3395" w:hanging="1"/>
              <w:rPr>
                <w:sz w:val="28"/>
              </w:rPr>
            </w:pPr>
            <w:r>
              <w:rPr>
                <w:sz w:val="28"/>
              </w:rPr>
              <w:t>P</w:t>
            </w:r>
            <w:r>
              <w:rPr>
                <w:sz w:val="22"/>
              </w:rPr>
              <w:t>H</w:t>
            </w:r>
            <w:r>
              <w:rPr>
                <w:sz w:val="28"/>
              </w:rPr>
              <w:t>. 303-295-1500 F</w:t>
            </w:r>
            <w:r>
              <w:rPr>
                <w:sz w:val="22"/>
              </w:rPr>
              <w:t>AX</w:t>
            </w:r>
            <w:r>
              <w:rPr>
                <w:sz w:val="28"/>
              </w:rPr>
              <w:t>:</w:t>
            </w:r>
          </w:p>
          <w:p>
            <w:pPr>
              <w:pStyle w:val="TableParagraph"/>
              <w:spacing w:line="314" w:lineRule="exact"/>
              <w:rPr>
                <w:sz w:val="28"/>
              </w:rPr>
            </w:pPr>
            <w:r>
              <w:rPr>
                <w:sz w:val="28"/>
              </w:rPr>
              <w:t>E</w:t>
            </w:r>
            <w:r>
              <w:rPr>
                <w:sz w:val="22"/>
              </w:rPr>
              <w:t>MAIL</w:t>
            </w:r>
            <w:r>
              <w:rPr>
                <w:sz w:val="28"/>
              </w:rPr>
              <w:t>: </w:t>
            </w:r>
            <w:hyperlink r:id="rId5">
              <w:r>
                <w:rPr>
                  <w:color w:val="0563C1"/>
                  <w:sz w:val="28"/>
                  <w:u w:val="single" w:color="0563C1"/>
                </w:rPr>
                <w:t>Patrick@MulliganBriet.com</w:t>
              </w:r>
            </w:hyperlink>
          </w:p>
          <w:p>
            <w:pPr>
              <w:pStyle w:val="TableParagraph"/>
              <w:spacing w:before="4"/>
              <w:ind w:left="0"/>
              <w:rPr>
                <w:rFonts w:ascii="Times New Roman"/>
                <w:sz w:val="38"/>
              </w:rPr>
            </w:pPr>
          </w:p>
          <w:p>
            <w:pPr>
              <w:pStyle w:val="TableParagraph"/>
              <w:ind w:right="1362"/>
              <w:rPr>
                <w:sz w:val="28"/>
              </w:rPr>
            </w:pPr>
            <w:r>
              <w:rPr>
                <w:sz w:val="28"/>
              </w:rPr>
              <w:t>THE LAW OFFICE OF JENNIFER E. LONGTIN, LLC</w:t>
            </w:r>
          </w:p>
          <w:p>
            <w:pPr>
              <w:pStyle w:val="TableParagraph"/>
              <w:ind w:right="2739"/>
              <w:rPr>
                <w:sz w:val="28"/>
              </w:rPr>
            </w:pPr>
            <w:r>
              <w:rPr>
                <w:sz w:val="28"/>
              </w:rPr>
              <w:t>Jennifer E. Longtin, #43509 2401 S. Downing St.</w:t>
            </w:r>
          </w:p>
          <w:p>
            <w:pPr>
              <w:pStyle w:val="TableParagraph"/>
              <w:spacing w:line="270" w:lineRule="exact"/>
              <w:rPr>
                <w:sz w:val="28"/>
              </w:rPr>
            </w:pPr>
            <w:r>
              <w:rPr>
                <w:sz w:val="28"/>
              </w:rPr>
              <w:t>Denver, CO 80201</w:t>
            </w:r>
          </w:p>
          <w:p>
            <w:pPr>
              <w:pStyle w:val="TableParagraph"/>
              <w:spacing w:line="269" w:lineRule="exact"/>
              <w:rPr>
                <w:sz w:val="28"/>
              </w:rPr>
            </w:pPr>
            <w:r>
              <w:rPr>
                <w:sz w:val="28"/>
              </w:rPr>
              <w:t>Ph. 303.747.6898</w:t>
            </w:r>
          </w:p>
          <w:p>
            <w:pPr>
              <w:pStyle w:val="TableParagraph"/>
              <w:spacing w:line="269" w:lineRule="exact"/>
              <w:rPr>
                <w:sz w:val="28"/>
              </w:rPr>
            </w:pPr>
            <w:r>
              <w:rPr>
                <w:sz w:val="28"/>
              </w:rPr>
              <w:t>Fax. 800.243.2691</w:t>
            </w:r>
          </w:p>
          <w:p>
            <w:pPr>
              <w:pStyle w:val="TableParagraph"/>
              <w:spacing w:line="251" w:lineRule="exact"/>
              <w:rPr>
                <w:sz w:val="28"/>
              </w:rPr>
            </w:pPr>
            <w:hyperlink r:id="rId6">
              <w:r>
                <w:rPr>
                  <w:sz w:val="28"/>
                </w:rPr>
                <w:t>Jen@jlongtinlaw.com</w:t>
              </w:r>
            </w:hyperlink>
          </w:p>
        </w:tc>
        <w:tc>
          <w:tcPr>
            <w:tcW w:w="3420" w:type="dxa"/>
          </w:tcPr>
          <w:p>
            <w:pPr>
              <w:pStyle w:val="TableParagraph"/>
              <w:ind w:left="0"/>
              <w:rPr>
                <w:rFonts w:ascii="Times New Roman"/>
                <w:sz w:val="30"/>
              </w:rPr>
            </w:pPr>
          </w:p>
          <w:p>
            <w:pPr>
              <w:pStyle w:val="TableParagraph"/>
              <w:ind w:left="0"/>
              <w:rPr>
                <w:rFonts w:ascii="Times New Roman"/>
                <w:sz w:val="28"/>
              </w:rPr>
            </w:pPr>
          </w:p>
          <w:p>
            <w:pPr>
              <w:pStyle w:val="TableParagraph"/>
              <w:rPr>
                <w:sz w:val="28"/>
              </w:rPr>
            </w:pPr>
            <w:r>
              <w:rPr>
                <w:sz w:val="28"/>
              </w:rPr>
              <w:t>Case No. 16CR001463</w:t>
            </w:r>
          </w:p>
          <w:p>
            <w:pPr>
              <w:pStyle w:val="TableParagraph"/>
              <w:ind w:left="0"/>
              <w:rPr>
                <w:rFonts w:ascii="Times New Roman"/>
                <w:sz w:val="30"/>
              </w:rPr>
            </w:pPr>
          </w:p>
          <w:p>
            <w:pPr>
              <w:pStyle w:val="TableParagraph"/>
              <w:ind w:left="0"/>
              <w:rPr>
                <w:rFonts w:ascii="Times New Roman"/>
                <w:sz w:val="30"/>
              </w:rPr>
            </w:pPr>
          </w:p>
          <w:p>
            <w:pPr>
              <w:pStyle w:val="TableParagraph"/>
              <w:ind w:left="0"/>
              <w:rPr>
                <w:rFonts w:ascii="Times New Roman"/>
                <w:sz w:val="30"/>
              </w:rPr>
            </w:pPr>
          </w:p>
          <w:p>
            <w:pPr>
              <w:pStyle w:val="TableParagraph"/>
              <w:ind w:left="0"/>
              <w:rPr>
                <w:rFonts w:ascii="Times New Roman"/>
                <w:sz w:val="30"/>
              </w:rPr>
            </w:pPr>
          </w:p>
          <w:p>
            <w:pPr>
              <w:pStyle w:val="TableParagraph"/>
              <w:spacing w:before="6"/>
              <w:ind w:left="0"/>
              <w:rPr>
                <w:rFonts w:ascii="Times New Roman"/>
                <w:sz w:val="26"/>
              </w:rPr>
            </w:pPr>
          </w:p>
          <w:p>
            <w:pPr>
              <w:pStyle w:val="TableParagraph"/>
              <w:rPr>
                <w:sz w:val="28"/>
              </w:rPr>
            </w:pPr>
            <w:r>
              <w:rPr>
                <w:sz w:val="28"/>
              </w:rPr>
              <w:t>Division: 12</w:t>
            </w:r>
          </w:p>
        </w:tc>
      </w:tr>
      <w:tr>
        <w:trPr>
          <w:trHeight w:val="467" w:hRule="atLeast"/>
        </w:trPr>
        <w:tc>
          <w:tcPr>
            <w:tcW w:w="9376" w:type="dxa"/>
            <w:gridSpan w:val="2"/>
          </w:tcPr>
          <w:p>
            <w:pPr>
              <w:pStyle w:val="TableParagraph"/>
              <w:spacing w:before="1"/>
              <w:ind w:left="2407"/>
              <w:rPr>
                <w:b/>
                <w:sz w:val="28"/>
              </w:rPr>
            </w:pPr>
            <w:r>
              <w:rPr>
                <w:b/>
                <w:sz w:val="28"/>
              </w:rPr>
              <w:t>OBJECTION TO CHILD HEARSAY</w:t>
            </w:r>
          </w:p>
        </w:tc>
      </w:tr>
    </w:tbl>
    <w:p>
      <w:pPr>
        <w:pStyle w:val="BodyText"/>
        <w:spacing w:line="480" w:lineRule="auto"/>
        <w:ind w:right="115" w:firstLine="719"/>
        <w:jc w:val="both"/>
      </w:pPr>
      <w:r>
        <w:rPr/>
        <w:t>Gary Nickal, by and through counsel, objects to the testimony of Alexandra and Kameryn Nickal. Mr. Nickal requests that this Court preclude their child hearsay for lacking sufficient safeguards of reliability. The defense has no objection to the prosecution’s requested extension of time to file a Motion to Introduce Child Hearsay;</w:t>
      </w:r>
      <w:r>
        <w:rPr>
          <w:spacing w:val="38"/>
        </w:rPr>
        <w:t> </w:t>
      </w:r>
      <w:r>
        <w:rPr/>
        <w:t>should</w:t>
      </w:r>
      <w:r>
        <w:rPr>
          <w:spacing w:val="39"/>
        </w:rPr>
        <w:t> </w:t>
      </w:r>
      <w:r>
        <w:rPr/>
        <w:t>that</w:t>
      </w:r>
      <w:r>
        <w:rPr>
          <w:spacing w:val="39"/>
        </w:rPr>
        <w:t> </w:t>
      </w:r>
      <w:r>
        <w:rPr/>
        <w:t>specific</w:t>
      </w:r>
      <w:r>
        <w:rPr>
          <w:spacing w:val="39"/>
        </w:rPr>
        <w:t> </w:t>
      </w:r>
      <w:r>
        <w:rPr/>
        <w:t>motion</w:t>
      </w:r>
      <w:r>
        <w:rPr>
          <w:spacing w:val="38"/>
        </w:rPr>
        <w:t> </w:t>
      </w:r>
      <w:r>
        <w:rPr/>
        <w:t>alter</w:t>
      </w:r>
      <w:r>
        <w:rPr>
          <w:spacing w:val="38"/>
        </w:rPr>
        <w:t> </w:t>
      </w:r>
      <w:r>
        <w:rPr/>
        <w:t>any</w:t>
      </w:r>
      <w:r>
        <w:rPr>
          <w:spacing w:val="38"/>
        </w:rPr>
        <w:t> </w:t>
      </w:r>
      <w:r>
        <w:rPr/>
        <w:t>arguments</w:t>
      </w:r>
      <w:r>
        <w:rPr>
          <w:spacing w:val="38"/>
        </w:rPr>
        <w:t> </w:t>
      </w:r>
      <w:r>
        <w:rPr/>
        <w:t>made</w:t>
      </w:r>
      <w:r>
        <w:rPr>
          <w:spacing w:val="38"/>
        </w:rPr>
        <w:t> </w:t>
      </w:r>
      <w:r>
        <w:rPr/>
        <w:t>in</w:t>
      </w:r>
      <w:r>
        <w:rPr>
          <w:spacing w:val="38"/>
        </w:rPr>
        <w:t> </w:t>
      </w:r>
      <w:r>
        <w:rPr/>
        <w:t>this</w:t>
      </w:r>
      <w:r>
        <w:rPr>
          <w:spacing w:val="39"/>
        </w:rPr>
        <w:t> </w:t>
      </w:r>
      <w:r>
        <w:rPr/>
        <w:t>motion,</w:t>
      </w:r>
      <w:r>
        <w:rPr>
          <w:spacing w:val="38"/>
        </w:rPr>
        <w:t> </w:t>
      </w:r>
      <w:r>
        <w:rPr/>
        <w:t>the</w:t>
      </w:r>
    </w:p>
    <w:p>
      <w:pPr>
        <w:spacing w:after="0" w:line="480" w:lineRule="auto"/>
        <w:jc w:val="both"/>
        <w:sectPr>
          <w:type w:val="continuous"/>
          <w:pgSz w:w="12240" w:h="15840"/>
          <w:pgMar w:top="1440" w:bottom="280" w:left="1220" w:right="1320"/>
        </w:sectPr>
      </w:pPr>
    </w:p>
    <w:p>
      <w:pPr>
        <w:pStyle w:val="BodyText"/>
        <w:tabs>
          <w:tab w:pos="5207" w:val="left" w:leader="none"/>
        </w:tabs>
        <w:spacing w:line="480" w:lineRule="auto" w:before="80"/>
        <w:ind w:right="117"/>
      </w:pPr>
      <w:r>
        <w:rPr/>
        <w:t>defense requests additional time </w:t>
      </w:r>
      <w:r>
        <w:rPr>
          <w:spacing w:val="47"/>
        </w:rPr>
        <w:t> </w:t>
      </w:r>
      <w:r>
        <w:rPr/>
        <w:t>to</w:t>
      </w:r>
      <w:r>
        <w:rPr>
          <w:spacing w:val="30"/>
        </w:rPr>
        <w:t> </w:t>
      </w:r>
      <w:r>
        <w:rPr/>
        <w:t>amend.</w:t>
        <w:tab/>
        <w:t>In support of Mr. Nickal’s request, the defense states the</w:t>
      </w:r>
      <w:r>
        <w:rPr>
          <w:spacing w:val="-3"/>
        </w:rPr>
        <w:t> </w:t>
      </w:r>
      <w:r>
        <w:rPr/>
        <w:t>following:</w:t>
      </w:r>
    </w:p>
    <w:p>
      <w:pPr>
        <w:pStyle w:val="Heading1"/>
      </w:pPr>
      <w:r>
        <w:rPr/>
        <w:t>FACTS</w:t>
      </w:r>
    </w:p>
    <w:p>
      <w:pPr>
        <w:pStyle w:val="BodyText"/>
        <w:spacing w:before="10"/>
        <w:ind w:left="0"/>
        <w:rPr>
          <w:b/>
          <w:sz w:val="27"/>
        </w:rPr>
      </w:pPr>
    </w:p>
    <w:p>
      <w:pPr>
        <w:pStyle w:val="ListParagraph"/>
        <w:numPr>
          <w:ilvl w:val="0"/>
          <w:numId w:val="1"/>
        </w:numPr>
        <w:tabs>
          <w:tab w:pos="1660" w:val="left" w:leader="none"/>
        </w:tabs>
        <w:spacing w:line="480" w:lineRule="auto" w:before="1" w:after="0"/>
        <w:ind w:left="220" w:right="117" w:firstLine="719"/>
        <w:jc w:val="both"/>
        <w:rPr>
          <w:sz w:val="28"/>
        </w:rPr>
      </w:pPr>
      <w:r>
        <w:rPr>
          <w:sz w:val="28"/>
        </w:rPr>
        <w:t>On April 28, 2016, Officers responded to a call of a shooting death at the home of Gary and Molly Nickal in Westminster, Colorado. When police arrived, they found three young children, Alexandra Nickal (eight-years old), Kameryn Nickal (seven-years old), and Calvin Nickal (three-months</w:t>
      </w:r>
      <w:r>
        <w:rPr>
          <w:spacing w:val="-6"/>
          <w:sz w:val="28"/>
        </w:rPr>
        <w:t> </w:t>
      </w:r>
      <w:r>
        <w:rPr>
          <w:sz w:val="28"/>
        </w:rPr>
        <w:t>old).</w:t>
      </w:r>
    </w:p>
    <w:p>
      <w:pPr>
        <w:pStyle w:val="ListParagraph"/>
        <w:numPr>
          <w:ilvl w:val="0"/>
          <w:numId w:val="1"/>
        </w:numPr>
        <w:tabs>
          <w:tab w:pos="1660" w:val="left" w:leader="none"/>
        </w:tabs>
        <w:spacing w:line="480" w:lineRule="auto" w:before="0" w:after="0"/>
        <w:ind w:left="220" w:right="115" w:firstLine="719"/>
        <w:jc w:val="both"/>
        <w:rPr>
          <w:sz w:val="28"/>
        </w:rPr>
      </w:pPr>
      <w:r>
        <w:rPr>
          <w:sz w:val="28"/>
        </w:rPr>
        <w:t>While on scene police spoke with Alexandra and Kameryn Nickal. Police conducted forensic interview with Alexandra and Kameryn this same day at</w:t>
      </w:r>
      <w:r>
        <w:rPr>
          <w:spacing w:val="35"/>
          <w:sz w:val="28"/>
        </w:rPr>
        <w:t> </w:t>
      </w:r>
      <w:r>
        <w:rPr>
          <w:sz w:val="28"/>
        </w:rPr>
        <w:t>the Arvada Ralston</w:t>
      </w:r>
      <w:r>
        <w:rPr>
          <w:spacing w:val="-2"/>
          <w:sz w:val="28"/>
        </w:rPr>
        <w:t> </w:t>
      </w:r>
      <w:r>
        <w:rPr>
          <w:sz w:val="28"/>
        </w:rPr>
        <w:t>House.</w:t>
      </w:r>
    </w:p>
    <w:p>
      <w:pPr>
        <w:pStyle w:val="Heading1"/>
        <w:ind w:left="3658"/>
      </w:pPr>
      <w:r>
        <w:rPr/>
        <w:t>LAW</w:t>
      </w:r>
    </w:p>
    <w:p>
      <w:pPr>
        <w:pStyle w:val="BodyText"/>
        <w:spacing w:before="10"/>
        <w:ind w:left="0"/>
        <w:rPr>
          <w:b/>
          <w:sz w:val="27"/>
        </w:rPr>
      </w:pPr>
    </w:p>
    <w:p>
      <w:pPr>
        <w:pStyle w:val="ListParagraph"/>
        <w:numPr>
          <w:ilvl w:val="0"/>
          <w:numId w:val="1"/>
        </w:numPr>
        <w:tabs>
          <w:tab w:pos="1660" w:val="left" w:leader="none"/>
        </w:tabs>
        <w:spacing w:line="480" w:lineRule="auto" w:before="0" w:after="0"/>
        <w:ind w:left="220" w:right="116" w:firstLine="719"/>
        <w:jc w:val="both"/>
        <w:rPr>
          <w:sz w:val="28"/>
        </w:rPr>
      </w:pPr>
      <w:r>
        <w:rPr>
          <w:sz w:val="28"/>
        </w:rPr>
        <w:t>C.R.S. 13-25-129 provides that a child who is the alleged victim or a witness to an alleged act of child abuse, may have their statement entered into evidence when the court “finds in a hearing conducted outside the presence of the jury that the time, content, and circumstances of the statement provide sufficient safeguards of</w:t>
      </w:r>
      <w:r>
        <w:rPr>
          <w:spacing w:val="-2"/>
          <w:sz w:val="28"/>
        </w:rPr>
        <w:t> </w:t>
      </w:r>
      <w:r>
        <w:rPr>
          <w:sz w:val="28"/>
        </w:rPr>
        <w:t>reliability…”</w:t>
      </w:r>
    </w:p>
    <w:p>
      <w:pPr>
        <w:pStyle w:val="ListParagraph"/>
        <w:numPr>
          <w:ilvl w:val="0"/>
          <w:numId w:val="1"/>
        </w:numPr>
        <w:tabs>
          <w:tab w:pos="1660" w:val="left" w:leader="none"/>
        </w:tabs>
        <w:spacing w:line="480" w:lineRule="auto" w:before="0" w:after="0"/>
        <w:ind w:left="219" w:right="115" w:firstLine="720"/>
        <w:jc w:val="both"/>
        <w:rPr>
          <w:sz w:val="28"/>
        </w:rPr>
      </w:pPr>
      <w:r>
        <w:rPr>
          <w:sz w:val="28"/>
        </w:rPr>
        <w:t>The court must find a child’s statement to be reliable in order to enter the statement into evidence. </w:t>
      </w:r>
      <w:r>
        <w:rPr>
          <w:i/>
          <w:sz w:val="28"/>
        </w:rPr>
        <w:t>People v. Salas</w:t>
      </w:r>
      <w:r>
        <w:rPr>
          <w:sz w:val="28"/>
        </w:rPr>
        <w:t>, 902 P.2d 398, 401 (Colo.App. 1994). Factors to be considered in whether or not a child’s statement is reliable include: 1), the general character of the declarant; 2), the timing of the declaration and the relationship</w:t>
      </w:r>
      <w:r>
        <w:rPr>
          <w:spacing w:val="47"/>
          <w:sz w:val="28"/>
        </w:rPr>
        <w:t> </w:t>
      </w:r>
      <w:r>
        <w:rPr>
          <w:sz w:val="28"/>
        </w:rPr>
        <w:t>between</w:t>
      </w:r>
      <w:r>
        <w:rPr>
          <w:spacing w:val="48"/>
          <w:sz w:val="28"/>
        </w:rPr>
        <w:t> </w:t>
      </w:r>
      <w:r>
        <w:rPr>
          <w:sz w:val="28"/>
        </w:rPr>
        <w:t>the</w:t>
      </w:r>
      <w:r>
        <w:rPr>
          <w:spacing w:val="46"/>
          <w:sz w:val="28"/>
        </w:rPr>
        <w:t> </w:t>
      </w:r>
      <w:r>
        <w:rPr>
          <w:sz w:val="28"/>
        </w:rPr>
        <w:t>declarant</w:t>
      </w:r>
      <w:r>
        <w:rPr>
          <w:spacing w:val="47"/>
          <w:sz w:val="28"/>
        </w:rPr>
        <w:t> </w:t>
      </w:r>
      <w:r>
        <w:rPr>
          <w:sz w:val="28"/>
        </w:rPr>
        <w:t>and</w:t>
      </w:r>
      <w:r>
        <w:rPr>
          <w:spacing w:val="48"/>
          <w:sz w:val="28"/>
        </w:rPr>
        <w:t> </w:t>
      </w:r>
      <w:r>
        <w:rPr>
          <w:sz w:val="28"/>
        </w:rPr>
        <w:t>the</w:t>
      </w:r>
      <w:r>
        <w:rPr>
          <w:spacing w:val="46"/>
          <w:sz w:val="28"/>
        </w:rPr>
        <w:t> </w:t>
      </w:r>
      <w:r>
        <w:rPr>
          <w:sz w:val="28"/>
        </w:rPr>
        <w:t>witness;</w:t>
      </w:r>
      <w:r>
        <w:rPr>
          <w:spacing w:val="47"/>
          <w:sz w:val="28"/>
        </w:rPr>
        <w:t> </w:t>
      </w:r>
      <w:r>
        <w:rPr>
          <w:sz w:val="28"/>
        </w:rPr>
        <w:t>3),</w:t>
      </w:r>
      <w:r>
        <w:rPr>
          <w:spacing w:val="47"/>
          <w:sz w:val="28"/>
        </w:rPr>
        <w:t> </w:t>
      </w:r>
      <w:r>
        <w:rPr>
          <w:sz w:val="28"/>
        </w:rPr>
        <w:t>whether</w:t>
      </w:r>
      <w:r>
        <w:rPr>
          <w:spacing w:val="47"/>
          <w:sz w:val="28"/>
        </w:rPr>
        <w:t> </w:t>
      </w:r>
      <w:r>
        <w:rPr>
          <w:sz w:val="28"/>
        </w:rPr>
        <w:t>the</w:t>
      </w:r>
      <w:r>
        <w:rPr>
          <w:spacing w:val="47"/>
          <w:sz w:val="28"/>
        </w:rPr>
        <w:t> </w:t>
      </w:r>
      <w:r>
        <w:rPr>
          <w:sz w:val="28"/>
        </w:rPr>
        <w:t>statement</w:t>
      </w:r>
      <w:r>
        <w:rPr>
          <w:spacing w:val="47"/>
          <w:sz w:val="28"/>
        </w:rPr>
        <w:t> </w:t>
      </w:r>
      <w:r>
        <w:rPr>
          <w:sz w:val="28"/>
        </w:rPr>
        <w:t>was</w:t>
      </w:r>
    </w:p>
    <w:p>
      <w:pPr>
        <w:spacing w:after="0" w:line="480" w:lineRule="auto"/>
        <w:jc w:val="both"/>
        <w:rPr>
          <w:sz w:val="28"/>
        </w:rPr>
        <w:sectPr>
          <w:pgSz w:w="12240" w:h="15840"/>
          <w:pgMar w:top="1360" w:bottom="280" w:left="1220" w:right="1320"/>
        </w:sectPr>
      </w:pPr>
    </w:p>
    <w:p>
      <w:pPr>
        <w:pStyle w:val="BodyText"/>
        <w:spacing w:line="480" w:lineRule="auto" w:before="80"/>
        <w:ind w:left="219" w:right="116"/>
        <w:jc w:val="both"/>
      </w:pPr>
      <w:r>
        <w:rPr/>
        <w:t>made while the child was still upset or in pain from the alleged abuse; 4), whether there is an apparent motive to lie; 5), Whether more than one person heard the statements; 6), whether the language of the statement was likely to have been used by a child the age of the declarant; 7), whether the statements were made spontaneously; 8), whether any other event occurred between the time of the abuse and the time of the statement which could account for the contents of the statement; 9), whether the statements contain no express assertion about past fact; 10), whether cross- examination could not show the declarant's lack of knowledge; 11), whether the allegation was made in response to a leading question; 12), whether the possibility of the declarant's faulty recognition is remote; and 13), whether the circumstances surrounding the statement are such that there is no reason to suppose the declarant misrepresented defendant's involvement. </w:t>
      </w:r>
      <w:r>
        <w:rPr>
          <w:i/>
        </w:rPr>
        <w:t>People v. Serna</w:t>
      </w:r>
      <w:r>
        <w:rPr/>
        <w:t>, 738 P.2d 802, 803–04 (Colo.App. 1987); </w:t>
      </w:r>
      <w:r>
        <w:rPr>
          <w:i/>
        </w:rPr>
        <w:t>People v. Frost</w:t>
      </w:r>
      <w:r>
        <w:rPr/>
        <w:t>, 5 P.3d 317, 323 (Colo.App. 1999); </w:t>
      </w:r>
      <w:r>
        <w:rPr>
          <w:i/>
        </w:rPr>
        <w:t>People v. Rojas</w:t>
      </w:r>
      <w:r>
        <w:rPr/>
        <w:t>, 181 P.3d 1216, 1218–19 (Colo.App. 2008). None of these factors are determinative, nor is this list exhaustive. </w:t>
      </w:r>
      <w:r>
        <w:rPr>
          <w:i/>
        </w:rPr>
        <w:t>Id. </w:t>
      </w:r>
      <w:r>
        <w:rPr/>
        <w:t>The crucial issue is that the finding of reliability be supported by the record. </w:t>
      </w:r>
      <w:r>
        <w:rPr>
          <w:i/>
        </w:rPr>
        <w:t>People v. Rojas</w:t>
      </w:r>
      <w:r>
        <w:rPr/>
        <w:t>, 181 P.3d 1216, 1219 (Colo.App.</w:t>
      </w:r>
      <w:r>
        <w:rPr>
          <w:spacing w:val="-13"/>
        </w:rPr>
        <w:t> </w:t>
      </w:r>
      <w:r>
        <w:rPr/>
        <w:t>2008).</w:t>
      </w:r>
    </w:p>
    <w:p>
      <w:pPr>
        <w:pStyle w:val="ListParagraph"/>
        <w:numPr>
          <w:ilvl w:val="0"/>
          <w:numId w:val="1"/>
        </w:numPr>
        <w:tabs>
          <w:tab w:pos="1660" w:val="left" w:leader="none"/>
        </w:tabs>
        <w:spacing w:line="480" w:lineRule="auto" w:before="0" w:after="0"/>
        <w:ind w:left="219" w:right="117" w:firstLine="720"/>
        <w:jc w:val="both"/>
        <w:rPr>
          <w:sz w:val="28"/>
        </w:rPr>
      </w:pPr>
      <w:r>
        <w:rPr>
          <w:sz w:val="28"/>
        </w:rPr>
        <w:t>C.R.S. § 13-90-106 indicates that children under the age of ten are presumed incompetent to testify at</w:t>
      </w:r>
      <w:r>
        <w:rPr>
          <w:spacing w:val="-3"/>
          <w:sz w:val="28"/>
        </w:rPr>
        <w:t> </w:t>
      </w:r>
      <w:r>
        <w:rPr>
          <w:sz w:val="28"/>
        </w:rPr>
        <w:t>trial.</w:t>
      </w:r>
    </w:p>
    <w:p>
      <w:pPr>
        <w:pStyle w:val="ListParagraph"/>
        <w:numPr>
          <w:ilvl w:val="0"/>
          <w:numId w:val="1"/>
        </w:numPr>
        <w:tabs>
          <w:tab w:pos="1660" w:val="left" w:leader="none"/>
        </w:tabs>
        <w:spacing w:line="480" w:lineRule="auto" w:before="0" w:after="0"/>
        <w:ind w:left="219" w:right="116" w:firstLine="720"/>
        <w:jc w:val="both"/>
        <w:rPr>
          <w:sz w:val="28"/>
        </w:rPr>
      </w:pPr>
      <w:r>
        <w:rPr>
          <w:sz w:val="28"/>
        </w:rPr>
        <w:t>One of the key issues when evaluating child hearsay is whether there is corroborating evidence. </w:t>
      </w:r>
      <w:r>
        <w:rPr>
          <w:i/>
          <w:sz w:val="28"/>
        </w:rPr>
        <w:t>See People v. Rogers</w:t>
      </w:r>
      <w:r>
        <w:rPr>
          <w:sz w:val="28"/>
        </w:rPr>
        <w:t>, 800 P.2d 1327, 1330 (Colo.App. 1990); </w:t>
      </w:r>
      <w:r>
        <w:rPr>
          <w:i/>
          <w:sz w:val="28"/>
        </w:rPr>
        <w:t>See </w:t>
      </w:r>
      <w:r>
        <w:rPr>
          <w:i/>
          <w:sz w:val="28"/>
        </w:rPr>
        <w:t>also</w:t>
      </w:r>
      <w:r>
        <w:rPr>
          <w:i/>
          <w:spacing w:val="45"/>
          <w:sz w:val="28"/>
        </w:rPr>
        <w:t> </w:t>
      </w:r>
      <w:r>
        <w:rPr>
          <w:i/>
          <w:sz w:val="28"/>
        </w:rPr>
        <w:t>People</w:t>
      </w:r>
      <w:r>
        <w:rPr>
          <w:i/>
          <w:spacing w:val="46"/>
          <w:sz w:val="28"/>
        </w:rPr>
        <w:t> </w:t>
      </w:r>
      <w:r>
        <w:rPr>
          <w:i/>
          <w:sz w:val="28"/>
        </w:rPr>
        <w:t>v.</w:t>
      </w:r>
      <w:r>
        <w:rPr>
          <w:i/>
          <w:spacing w:val="45"/>
          <w:sz w:val="28"/>
        </w:rPr>
        <w:t> </w:t>
      </w:r>
      <w:r>
        <w:rPr>
          <w:i/>
          <w:sz w:val="28"/>
        </w:rPr>
        <w:t>Haynie</w:t>
      </w:r>
      <w:r>
        <w:rPr>
          <w:sz w:val="28"/>
        </w:rPr>
        <w:t>,</w:t>
      </w:r>
      <w:r>
        <w:rPr>
          <w:spacing w:val="45"/>
          <w:sz w:val="28"/>
        </w:rPr>
        <w:t> </w:t>
      </w:r>
      <w:r>
        <w:rPr>
          <w:sz w:val="28"/>
        </w:rPr>
        <w:t>826</w:t>
      </w:r>
      <w:r>
        <w:rPr>
          <w:spacing w:val="45"/>
          <w:sz w:val="28"/>
        </w:rPr>
        <w:t> </w:t>
      </w:r>
      <w:r>
        <w:rPr>
          <w:sz w:val="28"/>
        </w:rPr>
        <w:t>P.2d</w:t>
      </w:r>
      <w:r>
        <w:rPr>
          <w:spacing w:val="48"/>
          <w:sz w:val="28"/>
        </w:rPr>
        <w:t> </w:t>
      </w:r>
      <w:r>
        <w:rPr>
          <w:sz w:val="28"/>
        </w:rPr>
        <w:t>371,</w:t>
      </w:r>
      <w:r>
        <w:rPr>
          <w:spacing w:val="45"/>
          <w:sz w:val="28"/>
        </w:rPr>
        <w:t> </w:t>
      </w:r>
      <w:r>
        <w:rPr>
          <w:sz w:val="28"/>
        </w:rPr>
        <w:t>376</w:t>
      </w:r>
      <w:r>
        <w:rPr>
          <w:spacing w:val="46"/>
          <w:sz w:val="28"/>
        </w:rPr>
        <w:t> </w:t>
      </w:r>
      <w:r>
        <w:rPr>
          <w:sz w:val="28"/>
        </w:rPr>
        <w:t>(Colo.App.</w:t>
      </w:r>
      <w:r>
        <w:rPr>
          <w:spacing w:val="48"/>
          <w:sz w:val="28"/>
        </w:rPr>
        <w:t> </w:t>
      </w:r>
      <w:r>
        <w:rPr>
          <w:sz w:val="28"/>
        </w:rPr>
        <w:t>1991).</w:t>
      </w:r>
      <w:r>
        <w:rPr>
          <w:spacing w:val="23"/>
          <w:sz w:val="28"/>
        </w:rPr>
        <w:t> </w:t>
      </w:r>
      <w:r>
        <w:rPr>
          <w:sz w:val="28"/>
        </w:rPr>
        <w:t>While</w:t>
      </w:r>
      <w:r>
        <w:rPr>
          <w:spacing w:val="45"/>
          <w:sz w:val="28"/>
        </w:rPr>
        <w:t> </w:t>
      </w:r>
      <w:r>
        <w:rPr>
          <w:sz w:val="28"/>
        </w:rPr>
        <w:t>such</w:t>
      </w:r>
      <w:r>
        <w:rPr>
          <w:spacing w:val="47"/>
          <w:sz w:val="28"/>
        </w:rPr>
        <w:t> </w:t>
      </w:r>
      <w:r>
        <w:rPr>
          <w:sz w:val="28"/>
        </w:rPr>
        <w:t>evidence</w:t>
      </w:r>
      <w:r>
        <w:rPr>
          <w:spacing w:val="47"/>
          <w:sz w:val="28"/>
        </w:rPr>
        <w:t> </w:t>
      </w:r>
      <w:r>
        <w:rPr>
          <w:sz w:val="28"/>
        </w:rPr>
        <w:t>is</w:t>
      </w:r>
    </w:p>
    <w:p>
      <w:pPr>
        <w:spacing w:after="0" w:line="480" w:lineRule="auto"/>
        <w:jc w:val="both"/>
        <w:rPr>
          <w:sz w:val="28"/>
        </w:rPr>
        <w:sectPr>
          <w:pgSz w:w="12240" w:h="15840"/>
          <w:pgMar w:top="1360" w:bottom="280" w:left="1220" w:right="1320"/>
        </w:sectPr>
      </w:pPr>
    </w:p>
    <w:p>
      <w:pPr>
        <w:pStyle w:val="BodyText"/>
        <w:spacing w:line="480" w:lineRule="auto" w:before="80"/>
        <w:ind w:right="114"/>
        <w:jc w:val="both"/>
      </w:pPr>
      <w:r>
        <w:rPr/>
        <w:t>mandatory when the child witness is not available to testify, the courts have looked to corroborating evidence to determine whether the child hearsay statements are themselves reliable. C.R.S. 13-25-129(b)(2); </w:t>
      </w:r>
      <w:r>
        <w:rPr>
          <w:i/>
        </w:rPr>
        <w:t>Rogers</w:t>
      </w:r>
      <w:r>
        <w:rPr/>
        <w:t>, 800 P.2d at 1330 (the court finding corroborating evidence, along with other factors, provided “sufficient safeguards of reliability.”).</w:t>
      </w:r>
    </w:p>
    <w:p>
      <w:pPr>
        <w:pStyle w:val="ListParagraph"/>
        <w:numPr>
          <w:ilvl w:val="0"/>
          <w:numId w:val="1"/>
        </w:numPr>
        <w:tabs>
          <w:tab w:pos="1660" w:val="left" w:leader="none"/>
        </w:tabs>
        <w:spacing w:line="480" w:lineRule="auto" w:before="0" w:after="0"/>
        <w:ind w:left="220" w:right="116" w:firstLine="719"/>
        <w:jc w:val="both"/>
        <w:rPr>
          <w:sz w:val="28"/>
        </w:rPr>
      </w:pPr>
      <w:r>
        <w:rPr>
          <w:sz w:val="28"/>
        </w:rPr>
        <w:t>“[T]he quantum of corroborative evidence needed to support admission of a child's hearsay statement must be enough to induce a person of ordinary prudence and caution, conscientiously to entertain a reasonable belief that the sexual abuse that is the subject of the child's hearsay statement occurred.” </w:t>
      </w:r>
      <w:r>
        <w:rPr>
          <w:i/>
          <w:sz w:val="28"/>
        </w:rPr>
        <w:t>See Stevens v. People</w:t>
      </w:r>
      <w:r>
        <w:rPr>
          <w:sz w:val="28"/>
        </w:rPr>
        <w:t>, 796 P.2d 946, 953 (Colo. 1990); </w:t>
      </w:r>
      <w:r>
        <w:rPr>
          <w:i/>
          <w:sz w:val="28"/>
        </w:rPr>
        <w:t>see also People v. Ayala</w:t>
      </w:r>
      <w:r>
        <w:rPr>
          <w:sz w:val="28"/>
        </w:rPr>
        <w:t>, 770 P.2d 1265, 1267 (Colo.1989). The court, further, may look past just the quantum of evidence necessary, and consider whether the totality of the evidence supports a finding of admitting the child hearsay statements. </w:t>
      </w:r>
      <w:r>
        <w:rPr>
          <w:i/>
          <w:sz w:val="28"/>
        </w:rPr>
        <w:t>See Stevens</w:t>
      </w:r>
      <w:r>
        <w:rPr>
          <w:sz w:val="28"/>
        </w:rPr>
        <w:t>, 796 P.2d at 953 (“Moreover, the trial court may examine the evidence as a whole to determine whether sufficient corroboration exists to warrant admission of child hearsay statements under section 13–25–129.”); </w:t>
      </w:r>
      <w:r>
        <w:rPr>
          <w:i/>
          <w:sz w:val="28"/>
        </w:rPr>
        <w:t>see also In the Interest of O.E.P</w:t>
      </w:r>
      <w:r>
        <w:rPr>
          <w:sz w:val="28"/>
        </w:rPr>
        <w:t>., 654 P.2d 312, 319 (Colo.1982) (totality of circumstances underlying child's hearsay statements demonstrated that trial court did not err in admitting statements under excited utterance hearsay</w:t>
      </w:r>
      <w:r>
        <w:rPr>
          <w:spacing w:val="-14"/>
          <w:sz w:val="28"/>
        </w:rPr>
        <w:t> </w:t>
      </w:r>
      <w:r>
        <w:rPr>
          <w:sz w:val="28"/>
        </w:rPr>
        <w:t>exception).</w:t>
      </w:r>
    </w:p>
    <w:p>
      <w:pPr>
        <w:pStyle w:val="Heading1"/>
        <w:spacing w:line="314" w:lineRule="exact"/>
        <w:ind w:left="4060" w:right="0"/>
        <w:jc w:val="left"/>
      </w:pPr>
      <w:r>
        <w:rPr/>
        <w:t>ARGUMENT</w:t>
      </w:r>
    </w:p>
    <w:p>
      <w:pPr>
        <w:pStyle w:val="BodyText"/>
        <w:spacing w:before="10"/>
        <w:ind w:left="0"/>
        <w:rPr>
          <w:b/>
          <w:sz w:val="27"/>
        </w:rPr>
      </w:pPr>
    </w:p>
    <w:p>
      <w:pPr>
        <w:pStyle w:val="ListParagraph"/>
        <w:numPr>
          <w:ilvl w:val="0"/>
          <w:numId w:val="1"/>
        </w:numPr>
        <w:tabs>
          <w:tab w:pos="1661" w:val="left" w:leader="none"/>
        </w:tabs>
        <w:spacing w:line="480" w:lineRule="auto" w:before="0" w:after="0"/>
        <w:ind w:left="220" w:right="116" w:firstLine="720"/>
        <w:jc w:val="both"/>
        <w:rPr>
          <w:sz w:val="28"/>
        </w:rPr>
      </w:pPr>
      <w:r>
        <w:rPr>
          <w:sz w:val="28"/>
        </w:rPr>
        <w:t>In this matter, the prosecution is requesting to introduce statements made by Alexandra and Kameryn</w:t>
      </w:r>
      <w:r>
        <w:rPr>
          <w:spacing w:val="-4"/>
          <w:sz w:val="28"/>
        </w:rPr>
        <w:t> </w:t>
      </w:r>
      <w:r>
        <w:rPr>
          <w:sz w:val="28"/>
        </w:rPr>
        <w:t>Nickel.</w:t>
      </w:r>
    </w:p>
    <w:p>
      <w:pPr>
        <w:spacing w:after="0" w:line="480" w:lineRule="auto"/>
        <w:jc w:val="both"/>
        <w:rPr>
          <w:sz w:val="28"/>
        </w:rPr>
        <w:sectPr>
          <w:pgSz w:w="12240" w:h="15840"/>
          <w:pgMar w:top="1360" w:bottom="280" w:left="1220" w:right="1320"/>
        </w:sectPr>
      </w:pPr>
    </w:p>
    <w:p>
      <w:pPr>
        <w:pStyle w:val="ListParagraph"/>
        <w:numPr>
          <w:ilvl w:val="0"/>
          <w:numId w:val="1"/>
        </w:numPr>
        <w:tabs>
          <w:tab w:pos="1660" w:val="left" w:leader="none"/>
        </w:tabs>
        <w:spacing w:line="480" w:lineRule="auto" w:before="80" w:after="0"/>
        <w:ind w:left="220" w:right="117" w:firstLine="720"/>
        <w:jc w:val="both"/>
        <w:rPr>
          <w:sz w:val="28"/>
        </w:rPr>
      </w:pPr>
      <w:r>
        <w:rPr>
          <w:sz w:val="28"/>
        </w:rPr>
        <w:t>On the date of the allegations in this matter, Alexandra was eight-years old while Kameryn was seven-years old. As of the filling of this motion, Alexandra is still only nine-years old while Kameryn is only eight-years old. Per C.R.S. § 13-90-106, Alexandra and Kameryn Nickal are presumed incompetent to testify at</w:t>
      </w:r>
      <w:r>
        <w:rPr>
          <w:spacing w:val="-15"/>
          <w:sz w:val="28"/>
        </w:rPr>
        <w:t> </w:t>
      </w:r>
      <w:r>
        <w:rPr>
          <w:sz w:val="28"/>
        </w:rPr>
        <w:t>trial.</w:t>
      </w:r>
    </w:p>
    <w:p>
      <w:pPr>
        <w:pStyle w:val="ListParagraph"/>
        <w:numPr>
          <w:ilvl w:val="0"/>
          <w:numId w:val="1"/>
        </w:numPr>
        <w:tabs>
          <w:tab w:pos="1660" w:val="left" w:leader="none"/>
        </w:tabs>
        <w:spacing w:line="480" w:lineRule="auto" w:before="0" w:after="0"/>
        <w:ind w:left="219" w:right="116" w:firstLine="720"/>
        <w:jc w:val="both"/>
        <w:rPr>
          <w:sz w:val="28"/>
        </w:rPr>
      </w:pPr>
      <w:r>
        <w:rPr>
          <w:sz w:val="28"/>
        </w:rPr>
        <w:t>The Court, in order to allow Kameryn and Alexandra to testify, must make findings, supported by the record, that Kameryn and Alexandra are competent to testify, and that their testimony has the sufficient safeguards of reliability. </w:t>
      </w:r>
      <w:r>
        <w:rPr>
          <w:i/>
          <w:sz w:val="28"/>
        </w:rPr>
        <w:t>See </w:t>
      </w:r>
      <w:r>
        <w:rPr>
          <w:sz w:val="28"/>
        </w:rPr>
        <w:t>C.R.S. 13-25-129; </w:t>
      </w:r>
      <w:r>
        <w:rPr>
          <w:i/>
          <w:sz w:val="28"/>
        </w:rPr>
        <w:t>see also People v. Serna, </w:t>
      </w:r>
      <w:r>
        <w:rPr>
          <w:sz w:val="28"/>
        </w:rPr>
        <w:t>738 P.2d 802, 803–04 (Colo.App. 1987); </w:t>
      </w:r>
      <w:r>
        <w:rPr>
          <w:i/>
          <w:sz w:val="28"/>
        </w:rPr>
        <w:t>People v. </w:t>
      </w:r>
      <w:r>
        <w:rPr>
          <w:i/>
          <w:sz w:val="28"/>
        </w:rPr>
        <w:t>Frost, </w:t>
      </w:r>
      <w:r>
        <w:rPr>
          <w:sz w:val="28"/>
        </w:rPr>
        <w:t>5 P.3d 317, 323 (Colo.App. 1999); </w:t>
      </w:r>
      <w:r>
        <w:rPr>
          <w:i/>
          <w:sz w:val="28"/>
        </w:rPr>
        <w:t>People v. Rojas, </w:t>
      </w:r>
      <w:r>
        <w:rPr>
          <w:sz w:val="28"/>
        </w:rPr>
        <w:t>181 P.3d 1216, 1218–19 (Colo.App.</w:t>
      </w:r>
      <w:r>
        <w:rPr>
          <w:spacing w:val="-1"/>
          <w:sz w:val="28"/>
        </w:rPr>
        <w:t> </w:t>
      </w:r>
      <w:r>
        <w:rPr>
          <w:sz w:val="28"/>
        </w:rPr>
        <w:t>2008).</w:t>
      </w:r>
    </w:p>
    <w:p>
      <w:pPr>
        <w:pStyle w:val="Heading1"/>
        <w:spacing w:line="315" w:lineRule="exact"/>
        <w:ind w:left="3930" w:right="0"/>
        <w:jc w:val="left"/>
      </w:pPr>
      <w:r>
        <w:rPr/>
        <w:t>CONCLUSION</w:t>
      </w:r>
    </w:p>
    <w:p>
      <w:pPr>
        <w:pStyle w:val="BodyText"/>
        <w:spacing w:before="11"/>
        <w:ind w:left="0"/>
        <w:rPr>
          <w:b/>
          <w:sz w:val="27"/>
        </w:rPr>
      </w:pPr>
    </w:p>
    <w:p>
      <w:pPr>
        <w:pStyle w:val="BodyText"/>
        <w:spacing w:line="480" w:lineRule="auto"/>
        <w:ind w:right="118" w:firstLine="719"/>
        <w:jc w:val="both"/>
      </w:pPr>
      <w:r>
        <w:rPr/>
        <w:t>WHEREFORE, Mr. Nickal, by and through counsel, respectfully requests this Honorable Court exclude the hearsay of Alexandra and Kameryn Nickal as unreliable, or, in the alternative, set a hearing to gather further information regarding the reliability of these statements. Gary Nickal makes this motion pursuant to his right to confrontation, right to due process, and all other rights accorded to an individual under both the Colorado and United States’ constitutions.</w:t>
      </w:r>
    </w:p>
    <w:p>
      <w:pPr>
        <w:pStyle w:val="BodyText"/>
        <w:ind w:left="0"/>
        <w:rPr>
          <w:sz w:val="30"/>
        </w:rPr>
      </w:pPr>
    </w:p>
    <w:p>
      <w:pPr>
        <w:pStyle w:val="BodyText"/>
        <w:spacing w:before="10"/>
        <w:ind w:left="0"/>
        <w:rPr>
          <w:sz w:val="25"/>
        </w:rPr>
      </w:pPr>
    </w:p>
    <w:p>
      <w:pPr>
        <w:pStyle w:val="BodyText"/>
        <w:spacing w:line="480" w:lineRule="auto" w:before="1"/>
        <w:ind w:right="6890"/>
      </w:pPr>
      <w:r>
        <w:rPr/>
        <w:t>Dated: July 27, 2017 Respectfully Submitted,</w:t>
      </w:r>
    </w:p>
    <w:p>
      <w:pPr>
        <w:spacing w:after="0" w:line="480" w:lineRule="auto"/>
        <w:sectPr>
          <w:pgSz w:w="12240" w:h="15840"/>
          <w:pgMar w:top="1360" w:bottom="280" w:left="1220" w:right="1320"/>
        </w:sectPr>
      </w:pPr>
    </w:p>
    <w:p>
      <w:pPr>
        <w:tabs>
          <w:tab w:pos="1299" w:val="left" w:leader="none"/>
          <w:tab w:pos="4507" w:val="left" w:leader="none"/>
        </w:tabs>
        <w:spacing w:before="79"/>
        <w:ind w:left="220" w:right="0" w:firstLine="0"/>
        <w:jc w:val="left"/>
        <w:rPr>
          <w:sz w:val="24"/>
        </w:rPr>
      </w:pPr>
      <w:r>
        <w:rPr>
          <w:sz w:val="24"/>
          <w:u w:val="single"/>
        </w:rPr>
        <w:t> </w:t>
        <w:tab/>
      </w:r>
      <w:r>
        <w:rPr>
          <w:sz w:val="24"/>
        </w:rPr>
        <w:t>/s/</w:t>
      </w:r>
      <w:r>
        <w:rPr>
          <w:sz w:val="24"/>
          <w:u w:val="single"/>
        </w:rPr>
        <w:t> </w:t>
        <w:tab/>
      </w:r>
    </w:p>
    <w:p>
      <w:pPr>
        <w:pStyle w:val="BodyText"/>
        <w:spacing w:before="1"/>
        <w:ind w:right="7173"/>
      </w:pPr>
      <w:r>
        <w:rPr/>
        <w:t>Patrick Mulligan Registration # 16981</w:t>
      </w:r>
    </w:p>
    <w:p>
      <w:pPr>
        <w:pStyle w:val="BodyText"/>
        <w:ind w:left="0"/>
        <w:rPr>
          <w:sz w:val="20"/>
        </w:rPr>
      </w:pPr>
    </w:p>
    <w:p>
      <w:pPr>
        <w:pStyle w:val="BodyText"/>
        <w:ind w:left="0"/>
        <w:rPr>
          <w:sz w:val="20"/>
        </w:rPr>
      </w:pPr>
    </w:p>
    <w:p>
      <w:pPr>
        <w:pStyle w:val="BodyText"/>
        <w:ind w:left="0"/>
        <w:rPr>
          <w:sz w:val="20"/>
        </w:rPr>
      </w:pPr>
    </w:p>
    <w:p>
      <w:pPr>
        <w:pStyle w:val="BodyText"/>
        <w:ind w:left="0"/>
        <w:rPr>
          <w:sz w:val="24"/>
        </w:rPr>
      </w:pPr>
    </w:p>
    <w:p>
      <w:pPr>
        <w:pStyle w:val="BodyText"/>
        <w:spacing w:line="315" w:lineRule="exact"/>
      </w:pPr>
      <w:r>
        <w:rPr/>
        <w:pict>
          <v:group style="position:absolute;margin-left:66.463997pt;margin-top:-41.658386pt;width:250.5pt;height:47.15pt;mso-position-horizontal-relative:page;mso-position-vertical-relative:paragraph;z-index:-4552" coordorigin="1329,-833" coordsize="5010,943">
            <v:shape style="position:absolute;left:1329;top:-834;width:3356;height:943" type="#_x0000_t75" stroked="false">
              <v:imagedata r:id="rId7" o:title=""/>
            </v:shape>
            <v:line style="position:absolute" from="1440,-46" to="6339,-46" stroked="true" strokeweight=".699pt" strokecolor="#000000">
              <v:stroke dashstyle="solid"/>
            </v:line>
            <w10:wrap type="none"/>
          </v:group>
        </w:pict>
      </w:r>
      <w:r>
        <w:rPr/>
        <w:t>Jennifer Longtin, #43509</w:t>
      </w:r>
    </w:p>
    <w:p>
      <w:pPr>
        <w:pStyle w:val="BodyText"/>
        <w:spacing w:line="315" w:lineRule="exact"/>
      </w:pPr>
      <w:r>
        <w:rPr/>
        <w:t>The Law Office of Jennifer E. Longtin, LLC</w:t>
      </w:r>
    </w:p>
    <w:p>
      <w:pPr>
        <w:pStyle w:val="BodyText"/>
        <w:ind w:left="0"/>
        <w:rPr>
          <w:sz w:val="30"/>
        </w:rPr>
      </w:pPr>
    </w:p>
    <w:p>
      <w:pPr>
        <w:pStyle w:val="BodyText"/>
        <w:ind w:left="0"/>
        <w:rPr>
          <w:sz w:val="30"/>
        </w:rPr>
      </w:pPr>
    </w:p>
    <w:p>
      <w:pPr>
        <w:pStyle w:val="BodyText"/>
        <w:ind w:left="0"/>
        <w:rPr>
          <w:sz w:val="24"/>
        </w:rPr>
      </w:pPr>
    </w:p>
    <w:p>
      <w:pPr>
        <w:pStyle w:val="Heading1"/>
        <w:ind w:left="3659"/>
      </w:pPr>
      <w:r>
        <w:rPr>
          <w:u w:val="single"/>
        </w:rPr>
        <w:t>Certificate of Service</w:t>
      </w:r>
    </w:p>
    <w:p>
      <w:pPr>
        <w:pStyle w:val="BodyText"/>
        <w:spacing w:before="2"/>
        <w:ind w:left="0"/>
        <w:rPr>
          <w:b/>
          <w:sz w:val="19"/>
        </w:rPr>
      </w:pPr>
    </w:p>
    <w:p>
      <w:pPr>
        <w:pStyle w:val="BodyText"/>
        <w:spacing w:line="480" w:lineRule="auto" w:before="99"/>
        <w:ind w:right="808" w:firstLine="719"/>
      </w:pPr>
      <w:r>
        <w:rPr/>
        <w:t>The undersigned does hereby certify that on July 27, 2017, she served the foregoing OBJECTION by ICCES to all opposing counsel of record.</w:t>
      </w:r>
    </w:p>
    <w:p>
      <w:pPr>
        <w:pStyle w:val="BodyText"/>
        <w:ind w:left="213"/>
        <w:rPr>
          <w:sz w:val="20"/>
        </w:rPr>
      </w:pPr>
      <w:r>
        <w:rPr>
          <w:sz w:val="20"/>
        </w:rPr>
        <w:pict>
          <v:group style="width:199.55pt;height:49.75pt;mso-position-horizontal-relative:char;mso-position-vertical-relative:line" coordorigin="0,0" coordsize="3991,995">
            <v:shape style="position:absolute;left:45;top:0;width:3946;height:995" type="#_x0000_t75" stroked="false">
              <v:imagedata r:id="rId8" o:title=""/>
            </v:shape>
            <v:line style="position:absolute" from="0,895" to="3498,895" stroked="true" strokeweight=".699pt" strokecolor="#000000">
              <v:stroke dashstyle="solid"/>
            </v:line>
          </v:group>
        </w:pict>
      </w:r>
      <w:r>
        <w:rPr>
          <w:sz w:val="20"/>
        </w:rPr>
      </w:r>
    </w:p>
    <w:sectPr>
      <w:pgSz w:w="12240" w:h="15840"/>
      <w:pgMar w:top="1360" w:bottom="28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20"/>
        <w:jc w:val="left"/>
      </w:pPr>
      <w:rPr>
        <w:rFonts w:hint="default" w:ascii="Garamond" w:hAnsi="Garamond" w:eastAsia="Garamond" w:cs="Garamond"/>
        <w:spacing w:val="-1"/>
        <w:w w:val="99"/>
        <w:sz w:val="28"/>
        <w:szCs w:val="28"/>
      </w:rPr>
    </w:lvl>
    <w:lvl w:ilvl="1">
      <w:start w:val="0"/>
      <w:numFmt w:val="bullet"/>
      <w:lvlText w:val="•"/>
      <w:lvlJc w:val="left"/>
      <w:pPr>
        <w:ind w:left="1168" w:hanging="720"/>
      </w:pPr>
      <w:rPr>
        <w:rFonts w:hint="default"/>
      </w:rPr>
    </w:lvl>
    <w:lvl w:ilvl="2">
      <w:start w:val="0"/>
      <w:numFmt w:val="bullet"/>
      <w:lvlText w:val="•"/>
      <w:lvlJc w:val="left"/>
      <w:pPr>
        <w:ind w:left="2116" w:hanging="720"/>
      </w:pPr>
      <w:rPr>
        <w:rFonts w:hint="default"/>
      </w:rPr>
    </w:lvl>
    <w:lvl w:ilvl="3">
      <w:start w:val="0"/>
      <w:numFmt w:val="bullet"/>
      <w:lvlText w:val="•"/>
      <w:lvlJc w:val="left"/>
      <w:pPr>
        <w:ind w:left="3064" w:hanging="720"/>
      </w:pPr>
      <w:rPr>
        <w:rFonts w:hint="default"/>
      </w:rPr>
    </w:lvl>
    <w:lvl w:ilvl="4">
      <w:start w:val="0"/>
      <w:numFmt w:val="bullet"/>
      <w:lvlText w:val="•"/>
      <w:lvlJc w:val="left"/>
      <w:pPr>
        <w:ind w:left="4012" w:hanging="720"/>
      </w:pPr>
      <w:rPr>
        <w:rFonts w:hint="default"/>
      </w:rPr>
    </w:lvl>
    <w:lvl w:ilvl="5">
      <w:start w:val="0"/>
      <w:numFmt w:val="bullet"/>
      <w:lvlText w:val="•"/>
      <w:lvlJc w:val="left"/>
      <w:pPr>
        <w:ind w:left="4960" w:hanging="720"/>
      </w:pPr>
      <w:rPr>
        <w:rFonts w:hint="default"/>
      </w:rPr>
    </w:lvl>
    <w:lvl w:ilvl="6">
      <w:start w:val="0"/>
      <w:numFmt w:val="bullet"/>
      <w:lvlText w:val="•"/>
      <w:lvlJc w:val="left"/>
      <w:pPr>
        <w:ind w:left="5908" w:hanging="720"/>
      </w:pPr>
      <w:rPr>
        <w:rFonts w:hint="default"/>
      </w:rPr>
    </w:lvl>
    <w:lvl w:ilvl="7">
      <w:start w:val="0"/>
      <w:numFmt w:val="bullet"/>
      <w:lvlText w:val="•"/>
      <w:lvlJc w:val="left"/>
      <w:pPr>
        <w:ind w:left="6856" w:hanging="720"/>
      </w:pPr>
      <w:rPr>
        <w:rFonts w:hint="default"/>
      </w:rPr>
    </w:lvl>
    <w:lvl w:ilvl="8">
      <w:start w:val="0"/>
      <w:numFmt w:val="bullet"/>
      <w:lvlText w:val="•"/>
      <w:lvlJc w:val="left"/>
      <w:pPr>
        <w:ind w:left="7804"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220"/>
    </w:pPr>
    <w:rPr>
      <w:rFonts w:ascii="Garamond" w:hAnsi="Garamond" w:eastAsia="Garamond" w:cs="Garamond"/>
      <w:sz w:val="28"/>
      <w:szCs w:val="28"/>
    </w:rPr>
  </w:style>
  <w:style w:styleId="Heading1" w:type="paragraph">
    <w:name w:val="Heading 1"/>
    <w:basedOn w:val="Normal"/>
    <w:uiPriority w:val="1"/>
    <w:qFormat/>
    <w:pPr>
      <w:ind w:left="3657" w:right="3559"/>
      <w:jc w:val="center"/>
      <w:outlineLvl w:val="1"/>
    </w:pPr>
    <w:rPr>
      <w:rFonts w:ascii="Garamond" w:hAnsi="Garamond" w:eastAsia="Garamond" w:cs="Garamond"/>
      <w:b/>
      <w:bCs/>
      <w:sz w:val="28"/>
      <w:szCs w:val="28"/>
    </w:rPr>
  </w:style>
  <w:style w:styleId="ListParagraph" w:type="paragraph">
    <w:name w:val="List Paragraph"/>
    <w:basedOn w:val="Normal"/>
    <w:uiPriority w:val="1"/>
    <w:qFormat/>
    <w:pPr>
      <w:ind w:left="220" w:right="116" w:firstLine="720"/>
      <w:jc w:val="both"/>
    </w:pPr>
    <w:rPr>
      <w:rFonts w:ascii="Garamond" w:hAnsi="Garamond" w:eastAsia="Garamond" w:cs="Garamond"/>
    </w:rPr>
  </w:style>
  <w:style w:styleId="TableParagraph" w:type="paragraph">
    <w:name w:val="Table Paragraph"/>
    <w:basedOn w:val="Normal"/>
    <w:uiPriority w:val="1"/>
    <w:qFormat/>
    <w:pPr>
      <w:ind w:left="107"/>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atrick@MulliganBriet.com" TargetMode="External"/><Relationship Id="rId6" Type="http://schemas.openxmlformats.org/officeDocument/2006/relationships/hyperlink" Target="mailto:Jen@jlongtinlaw.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2019-03-20T18:42:40Z</dcterms:created>
  <dcterms:modified xsi:type="dcterms:W3CDTF">2019-03-20T18:42:40Z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