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20"/>
      </w:tblGrid>
      <w:tr>
        <w:trPr>
          <w:trHeight w:val="592" w:hRule="atLeast"/>
        </w:trPr>
        <w:tc>
          <w:tcPr>
            <w:tcW w:w="5920" w:type="dxa"/>
            <w:tcBorders>
              <w:bottom w:val="nil"/>
            </w:tcBorders>
          </w:tcPr>
          <w:p>
            <w:pPr>
              <w:pStyle w:val="TableParagraph"/>
              <w:spacing w:before="8"/>
              <w:ind w:left="0"/>
              <w:rPr>
                <w:sz w:val="23"/>
              </w:rPr>
            </w:pPr>
          </w:p>
          <w:p>
            <w:pPr>
              <w:pStyle w:val="TableParagraph"/>
              <w:rPr>
                <w:sz w:val="24"/>
              </w:rPr>
            </w:pPr>
            <w:r>
              <w:rPr>
                <w:sz w:val="24"/>
              </w:rPr>
              <w:t>DISTRICT COURT, DENVER COUNTY, COLORADO</w:t>
            </w:r>
          </w:p>
        </w:tc>
        <w:tc>
          <w:tcPr>
            <w:tcW w:w="3420" w:type="dxa"/>
            <w:tcBorders>
              <w:bottom w:val="nil"/>
            </w:tcBorders>
          </w:tcPr>
          <w:p>
            <w:pPr>
              <w:pStyle w:val="TableParagraph"/>
              <w:ind w:left="0"/>
              <w:rPr>
                <w:sz w:val="22"/>
              </w:rPr>
            </w:pPr>
          </w:p>
        </w:tc>
      </w:tr>
      <w:tr>
        <w:trPr>
          <w:trHeight w:val="1634" w:hRule="atLeast"/>
        </w:trPr>
        <w:tc>
          <w:tcPr>
            <w:tcW w:w="5920" w:type="dxa"/>
            <w:tcBorders>
              <w:top w:val="nil"/>
              <w:bottom w:val="nil"/>
            </w:tcBorders>
          </w:tcPr>
          <w:p>
            <w:pPr>
              <w:pStyle w:val="TableParagraph"/>
              <w:spacing w:line="214" w:lineRule="exact" w:before="35"/>
              <w:ind w:left="0" w:right="9"/>
              <w:jc w:val="right"/>
              <w:rPr>
                <w:sz w:val="20"/>
              </w:rPr>
            </w:pPr>
            <w:r>
              <w:rPr>
                <w:color w:val="0000FF"/>
                <w:sz w:val="20"/>
              </w:rPr>
              <w:t>DATE</w:t>
            </w:r>
          </w:p>
          <w:p>
            <w:pPr>
              <w:pStyle w:val="TableParagraph"/>
              <w:tabs>
                <w:tab w:pos="5249" w:val="left" w:leader="none"/>
              </w:tabs>
              <w:spacing w:line="238" w:lineRule="exact"/>
              <w:ind w:left="0" w:right="29"/>
              <w:jc w:val="right"/>
              <w:rPr>
                <w:sz w:val="20"/>
              </w:rPr>
            </w:pPr>
            <w:r>
              <w:rPr>
                <w:sz w:val="24"/>
              </w:rPr>
              <w:t>Court Address:   Denver</w:t>
            </w:r>
            <w:r>
              <w:rPr>
                <w:spacing w:val="-5"/>
                <w:sz w:val="24"/>
              </w:rPr>
              <w:t> </w:t>
            </w:r>
            <w:r>
              <w:rPr>
                <w:sz w:val="24"/>
              </w:rPr>
              <w:t>County</w:t>
            </w:r>
            <w:r>
              <w:rPr>
                <w:spacing w:val="-1"/>
                <w:sz w:val="24"/>
              </w:rPr>
              <w:t> </w:t>
            </w:r>
            <w:r>
              <w:rPr>
                <w:sz w:val="24"/>
              </w:rPr>
              <w:t>Court</w:t>
              <w:tab/>
            </w:r>
            <w:r>
              <w:rPr>
                <w:color w:val="0000FF"/>
                <w:position w:val="2"/>
                <w:sz w:val="20"/>
              </w:rPr>
              <w:t>FILIN</w:t>
            </w:r>
          </w:p>
          <w:p>
            <w:pPr>
              <w:pStyle w:val="TableParagraph"/>
              <w:tabs>
                <w:tab w:pos="5357" w:val="left" w:leader="none"/>
              </w:tabs>
              <w:spacing w:line="297" w:lineRule="exact"/>
              <w:ind w:left="1727"/>
              <w:rPr>
                <w:sz w:val="20"/>
              </w:rPr>
            </w:pPr>
            <w:r>
              <w:rPr>
                <w:sz w:val="24"/>
              </w:rPr>
              <w:t>1437 Bannock St.,</w:t>
            </w:r>
            <w:r>
              <w:rPr>
                <w:spacing w:val="-1"/>
                <w:sz w:val="24"/>
              </w:rPr>
              <w:t> </w:t>
            </w:r>
            <w:r>
              <w:rPr>
                <w:sz w:val="24"/>
              </w:rPr>
              <w:t>Room</w:t>
            </w:r>
            <w:r>
              <w:rPr>
                <w:spacing w:val="-3"/>
                <w:sz w:val="24"/>
              </w:rPr>
              <w:t> </w:t>
            </w:r>
            <w:r>
              <w:rPr>
                <w:sz w:val="24"/>
              </w:rPr>
              <w:t>256</w:t>
              <w:tab/>
            </w:r>
            <w:r>
              <w:rPr>
                <w:color w:val="0000FF"/>
                <w:position w:val="8"/>
                <w:sz w:val="20"/>
              </w:rPr>
              <w:t>CASE</w:t>
            </w:r>
          </w:p>
          <w:p>
            <w:pPr>
              <w:pStyle w:val="TableParagraph"/>
              <w:ind w:left="1727"/>
              <w:rPr>
                <w:sz w:val="24"/>
              </w:rPr>
            </w:pPr>
            <w:r>
              <w:rPr>
                <w:sz w:val="24"/>
              </w:rPr>
              <w:t>Denver, CO</w:t>
            </w:r>
            <w:r>
              <w:rPr>
                <w:spacing w:val="58"/>
                <w:sz w:val="24"/>
              </w:rPr>
              <w:t> </w:t>
            </w:r>
            <w:r>
              <w:rPr>
                <w:sz w:val="24"/>
              </w:rPr>
              <w:t>80202</w:t>
            </w:r>
          </w:p>
          <w:p>
            <w:pPr>
              <w:pStyle w:val="TableParagraph"/>
              <w:ind w:left="1727"/>
              <w:rPr>
                <w:sz w:val="24"/>
              </w:rPr>
            </w:pPr>
            <w:r>
              <w:rPr>
                <w:sz w:val="24"/>
              </w:rPr>
              <w:t>(720) 865-8301</w:t>
            </w:r>
          </w:p>
        </w:tc>
        <w:tc>
          <w:tcPr>
            <w:tcW w:w="3420" w:type="dxa"/>
            <w:tcBorders>
              <w:top w:val="nil"/>
              <w:bottom w:val="nil"/>
            </w:tcBorders>
          </w:tcPr>
          <w:p>
            <w:pPr>
              <w:pStyle w:val="TableParagraph"/>
              <w:spacing w:line="225" w:lineRule="auto" w:before="46"/>
              <w:ind w:left="-44" w:right="303" w:firstLine="98"/>
              <w:rPr>
                <w:sz w:val="20"/>
              </w:rPr>
            </w:pPr>
            <w:r>
              <w:rPr>
                <w:color w:val="0000FF"/>
                <w:sz w:val="20"/>
              </w:rPr>
              <w:t>FILED: September 7, 2016 3:56 </w:t>
            </w:r>
            <w:r>
              <w:rPr>
                <w:color w:val="0000FF"/>
                <w:spacing w:val="-7"/>
                <w:sz w:val="20"/>
              </w:rPr>
              <w:t>PM</w:t>
            </w:r>
            <w:r>
              <w:rPr>
                <w:color w:val="0000FF"/>
                <w:spacing w:val="36"/>
                <w:sz w:val="20"/>
              </w:rPr>
              <w:t> </w:t>
            </w:r>
            <w:r>
              <w:rPr>
                <w:color w:val="0000FF"/>
                <w:sz w:val="20"/>
              </w:rPr>
              <w:t>G ID:</w:t>
            </w:r>
            <w:r>
              <w:rPr>
                <w:color w:val="0000FF"/>
                <w:spacing w:val="11"/>
                <w:sz w:val="20"/>
              </w:rPr>
              <w:t> </w:t>
            </w:r>
            <w:r>
              <w:rPr>
                <w:color w:val="0000FF"/>
                <w:sz w:val="20"/>
              </w:rPr>
              <w:t>22490226D6A84</w:t>
            </w:r>
          </w:p>
          <w:p>
            <w:pPr>
              <w:pStyle w:val="TableParagraph"/>
              <w:spacing w:line="218" w:lineRule="exact"/>
              <w:ind w:left="32"/>
              <w:rPr>
                <w:sz w:val="20"/>
              </w:rPr>
            </w:pPr>
            <w:r>
              <w:rPr>
                <w:color w:val="0000FF"/>
                <w:sz w:val="20"/>
              </w:rPr>
              <w:t>NUMBER: 2015CV31709</w:t>
            </w:r>
          </w:p>
        </w:tc>
      </w:tr>
      <w:tr>
        <w:trPr>
          <w:trHeight w:val="1259" w:hRule="atLeast"/>
        </w:trPr>
        <w:tc>
          <w:tcPr>
            <w:tcW w:w="5920" w:type="dxa"/>
            <w:tcBorders>
              <w:top w:val="nil"/>
              <w:bottom w:val="nil"/>
            </w:tcBorders>
          </w:tcPr>
          <w:p>
            <w:pPr>
              <w:pStyle w:val="TableParagraph"/>
              <w:spacing w:line="20" w:lineRule="exact"/>
              <w:ind w:left="69"/>
              <w:rPr>
                <w:sz w:val="2"/>
              </w:rPr>
            </w:pPr>
            <w:r>
              <w:rPr>
                <w:sz w:val="2"/>
              </w:rPr>
              <w:pict>
                <v:group style="width:288.2pt;height:.75pt;mso-position-horizontal-relative:char;mso-position-vertical-relative:line" coordorigin="0,0" coordsize="5764,15">
                  <v:line style="position:absolute" from="0,7" to="5764,7" stroked="true" strokeweight=".72pt" strokecolor="#000000">
                    <v:stroke dashstyle="solid"/>
                  </v:line>
                </v:group>
              </w:pict>
            </w:r>
            <w:r>
              <w:rPr>
                <w:sz w:val="2"/>
              </w:rPr>
            </w:r>
          </w:p>
          <w:p>
            <w:pPr>
              <w:pStyle w:val="TableParagraph"/>
              <w:spacing w:before="3"/>
              <w:ind w:left="0"/>
              <w:rPr>
                <w:sz w:val="23"/>
              </w:rPr>
            </w:pPr>
          </w:p>
          <w:p>
            <w:pPr>
              <w:pStyle w:val="TableParagraph"/>
              <w:ind w:right="1046"/>
              <w:jc w:val="both"/>
              <w:rPr>
                <w:sz w:val="24"/>
              </w:rPr>
            </w:pPr>
            <w:r>
              <w:rPr>
                <w:sz w:val="24"/>
              </w:rPr>
              <w:t>Plaintiffs: ROBERT ABRAMS and ABRAMS &amp; ASSOCIATES, LLC, a Colorado limited liability company;</w:t>
            </w:r>
          </w:p>
        </w:tc>
        <w:tc>
          <w:tcPr>
            <w:tcW w:w="3420" w:type="dxa"/>
            <w:tcBorders>
              <w:top w:val="nil"/>
              <w:bottom w:val="nil"/>
            </w:tcBorders>
          </w:tcPr>
          <w:p>
            <w:pPr>
              <w:pStyle w:val="TableParagraph"/>
              <w:ind w:left="0"/>
              <w:rPr>
                <w:sz w:val="22"/>
              </w:rPr>
            </w:pPr>
          </w:p>
        </w:tc>
      </w:tr>
      <w:tr>
        <w:trPr>
          <w:trHeight w:val="673" w:hRule="atLeast"/>
        </w:trPr>
        <w:tc>
          <w:tcPr>
            <w:tcW w:w="5920" w:type="dxa"/>
            <w:tcBorders>
              <w:top w:val="nil"/>
              <w:bottom w:val="nil"/>
            </w:tcBorders>
          </w:tcPr>
          <w:p>
            <w:pPr>
              <w:pStyle w:val="TableParagraph"/>
              <w:spacing w:before="133"/>
              <w:rPr>
                <w:sz w:val="24"/>
              </w:rPr>
            </w:pPr>
            <w:r>
              <w:rPr>
                <w:sz w:val="24"/>
              </w:rPr>
              <w:t>v.</w:t>
            </w:r>
          </w:p>
        </w:tc>
        <w:tc>
          <w:tcPr>
            <w:tcW w:w="3420" w:type="dxa"/>
            <w:tcBorders>
              <w:top w:val="nil"/>
              <w:bottom w:val="nil"/>
            </w:tcBorders>
          </w:tcPr>
          <w:p>
            <w:pPr>
              <w:pStyle w:val="TableParagraph"/>
              <w:spacing w:before="8"/>
              <w:ind w:left="0"/>
              <w:rPr>
                <w:sz w:val="32"/>
              </w:rPr>
            </w:pPr>
          </w:p>
          <w:p>
            <w:pPr>
              <w:pStyle w:val="TableParagraph"/>
              <w:ind w:left="635"/>
              <w:rPr>
                <w:b/>
                <w:sz w:val="24"/>
              </w:rPr>
            </w:pPr>
            <w:r>
              <w:rPr>
                <w:b/>
                <w:sz w:val="24"/>
              </w:rPr>
              <w:t>COURT USE ONLY</w:t>
            </w:r>
          </w:p>
        </w:tc>
      </w:tr>
      <w:tr>
        <w:trPr>
          <w:trHeight w:val="566" w:hRule="atLeast"/>
        </w:trPr>
        <w:tc>
          <w:tcPr>
            <w:tcW w:w="5920" w:type="dxa"/>
            <w:tcBorders>
              <w:top w:val="nil"/>
            </w:tcBorders>
          </w:tcPr>
          <w:p>
            <w:pPr>
              <w:pStyle w:val="TableParagraph"/>
              <w:spacing w:before="11"/>
              <w:rPr>
                <w:sz w:val="24"/>
              </w:rPr>
            </w:pPr>
            <w:r>
              <w:rPr>
                <w:sz w:val="24"/>
              </w:rPr>
              <w:t>Defendants: SHAWN BEESON</w:t>
            </w:r>
          </w:p>
        </w:tc>
        <w:tc>
          <w:tcPr>
            <w:tcW w:w="3420" w:type="dxa"/>
            <w:tcBorders>
              <w:top w:val="nil"/>
            </w:tcBorders>
          </w:tcPr>
          <w:p>
            <w:pPr>
              <w:pStyle w:val="TableParagraph"/>
              <w:ind w:left="0"/>
              <w:rPr>
                <w:sz w:val="22"/>
              </w:rPr>
            </w:pPr>
          </w:p>
        </w:tc>
      </w:tr>
      <w:tr>
        <w:trPr>
          <w:trHeight w:val="278" w:hRule="atLeast"/>
        </w:trPr>
        <w:tc>
          <w:tcPr>
            <w:tcW w:w="5920" w:type="dxa"/>
            <w:tcBorders>
              <w:bottom w:val="nil"/>
            </w:tcBorders>
          </w:tcPr>
          <w:p>
            <w:pPr>
              <w:pStyle w:val="TableParagraph"/>
              <w:spacing w:line="258" w:lineRule="exact"/>
              <w:rPr>
                <w:sz w:val="24"/>
              </w:rPr>
            </w:pPr>
            <w:r>
              <w:rPr>
                <w:sz w:val="24"/>
              </w:rPr>
              <w:t>Attorneys for Plaintiffs:</w:t>
            </w:r>
          </w:p>
        </w:tc>
        <w:tc>
          <w:tcPr>
            <w:tcW w:w="3420" w:type="dxa"/>
            <w:tcBorders>
              <w:bottom w:val="nil"/>
            </w:tcBorders>
          </w:tcPr>
          <w:p>
            <w:pPr>
              <w:pStyle w:val="TableParagraph"/>
              <w:ind w:left="0"/>
              <w:rPr>
                <w:sz w:val="20"/>
              </w:rPr>
            </w:pPr>
          </w:p>
        </w:tc>
      </w:tr>
      <w:tr>
        <w:trPr>
          <w:trHeight w:val="275" w:hRule="atLeast"/>
        </w:trPr>
        <w:tc>
          <w:tcPr>
            <w:tcW w:w="5920" w:type="dxa"/>
            <w:tcBorders>
              <w:top w:val="nil"/>
              <w:bottom w:val="nil"/>
            </w:tcBorders>
          </w:tcPr>
          <w:p>
            <w:pPr>
              <w:pStyle w:val="TableParagraph"/>
              <w:ind w:left="0"/>
              <w:rPr>
                <w:sz w:val="20"/>
              </w:rPr>
            </w:pPr>
          </w:p>
        </w:tc>
        <w:tc>
          <w:tcPr>
            <w:tcW w:w="3420" w:type="dxa"/>
            <w:tcBorders>
              <w:top w:val="nil"/>
              <w:bottom w:val="nil"/>
            </w:tcBorders>
          </w:tcPr>
          <w:p>
            <w:pPr>
              <w:pStyle w:val="TableParagraph"/>
              <w:spacing w:line="255" w:lineRule="exact"/>
              <w:rPr>
                <w:sz w:val="24"/>
              </w:rPr>
            </w:pPr>
            <w:r>
              <w:rPr>
                <w:sz w:val="24"/>
              </w:rPr>
              <w:t>Case Number: 2015CV31709</w:t>
            </w:r>
          </w:p>
        </w:tc>
      </w:tr>
      <w:tr>
        <w:trPr>
          <w:trHeight w:val="2069" w:hRule="atLeast"/>
        </w:trPr>
        <w:tc>
          <w:tcPr>
            <w:tcW w:w="5920" w:type="dxa"/>
            <w:tcBorders>
              <w:top w:val="nil"/>
              <w:bottom w:val="nil"/>
            </w:tcBorders>
          </w:tcPr>
          <w:p>
            <w:pPr>
              <w:pStyle w:val="TableParagraph"/>
              <w:spacing w:line="271" w:lineRule="exact"/>
              <w:rPr>
                <w:sz w:val="24"/>
              </w:rPr>
            </w:pPr>
            <w:r>
              <w:rPr>
                <w:sz w:val="24"/>
              </w:rPr>
              <w:t>Nathan Silver</w:t>
            </w:r>
          </w:p>
          <w:p>
            <w:pPr>
              <w:pStyle w:val="TableParagraph"/>
              <w:ind w:right="3348"/>
              <w:rPr>
                <w:sz w:val="24"/>
              </w:rPr>
            </w:pPr>
            <w:r>
              <w:rPr>
                <w:sz w:val="24"/>
              </w:rPr>
              <w:t>Silver Law Firm, LLC 700 17</w:t>
            </w:r>
            <w:r>
              <w:rPr>
                <w:sz w:val="24"/>
                <w:vertAlign w:val="superscript"/>
              </w:rPr>
              <w:t>th</w:t>
            </w:r>
            <w:r>
              <w:rPr>
                <w:sz w:val="24"/>
                <w:vertAlign w:val="baseline"/>
              </w:rPr>
              <w:t> Street, Suite 650</w:t>
            </w:r>
          </w:p>
          <w:p>
            <w:pPr>
              <w:pStyle w:val="TableParagraph"/>
              <w:rPr>
                <w:sz w:val="24"/>
              </w:rPr>
            </w:pPr>
            <w:r>
              <w:rPr>
                <w:sz w:val="24"/>
              </w:rPr>
              <w:t>Denver, Colorado 80202</w:t>
            </w:r>
          </w:p>
          <w:p>
            <w:pPr>
              <w:pStyle w:val="TableParagraph"/>
              <w:rPr>
                <w:sz w:val="24"/>
              </w:rPr>
            </w:pPr>
            <w:r>
              <w:rPr>
                <w:sz w:val="24"/>
              </w:rPr>
              <w:t>Phone: (303) 328-8510</w:t>
            </w:r>
          </w:p>
          <w:p>
            <w:pPr>
              <w:pStyle w:val="TableParagraph"/>
              <w:ind w:right="2136"/>
              <w:rPr>
                <w:sz w:val="24"/>
              </w:rPr>
            </w:pPr>
            <w:r>
              <w:rPr>
                <w:sz w:val="24"/>
              </w:rPr>
              <w:t>E-m</w:t>
            </w:r>
            <w:hyperlink r:id="rId6">
              <w:r>
                <w:rPr>
                  <w:sz w:val="24"/>
                </w:rPr>
                <w:t>ail: nathan@silverlawdenver.com</w:t>
              </w:r>
            </w:hyperlink>
            <w:r>
              <w:rPr>
                <w:sz w:val="24"/>
              </w:rPr>
              <w:t> Atty. Reg. # 28836</w:t>
            </w:r>
          </w:p>
        </w:tc>
        <w:tc>
          <w:tcPr>
            <w:tcW w:w="3420" w:type="dxa"/>
            <w:tcBorders>
              <w:top w:val="nil"/>
              <w:bottom w:val="nil"/>
            </w:tcBorders>
          </w:tcPr>
          <w:p>
            <w:pPr>
              <w:pStyle w:val="TableParagraph"/>
              <w:spacing w:before="6"/>
              <w:ind w:left="0"/>
              <w:rPr>
                <w:sz w:val="23"/>
              </w:rPr>
            </w:pPr>
          </w:p>
          <w:p>
            <w:pPr>
              <w:pStyle w:val="TableParagraph"/>
              <w:rPr>
                <w:sz w:val="24"/>
              </w:rPr>
            </w:pPr>
            <w:r>
              <w:rPr>
                <w:sz w:val="24"/>
              </w:rPr>
              <w:t>Division: 409</w:t>
            </w:r>
          </w:p>
        </w:tc>
      </w:tr>
      <w:tr>
        <w:trPr>
          <w:trHeight w:val="2343" w:hRule="atLeast"/>
        </w:trPr>
        <w:tc>
          <w:tcPr>
            <w:tcW w:w="5920" w:type="dxa"/>
            <w:tcBorders>
              <w:top w:val="nil"/>
            </w:tcBorders>
          </w:tcPr>
          <w:p>
            <w:pPr>
              <w:pStyle w:val="TableParagraph"/>
              <w:spacing w:before="133"/>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p>
            <w:pPr>
              <w:pStyle w:val="TableParagraph"/>
              <w:rPr>
                <w:sz w:val="24"/>
              </w:rPr>
            </w:pPr>
            <w:r>
              <w:rPr>
                <w:sz w:val="24"/>
              </w:rPr>
              <w:t>Phone #: (303) 322-4115</w:t>
            </w:r>
          </w:p>
          <w:p>
            <w:pPr>
              <w:pStyle w:val="TableParagraph"/>
              <w:rPr>
                <w:sz w:val="24"/>
              </w:rPr>
            </w:pPr>
            <w:r>
              <w:rPr>
                <w:sz w:val="24"/>
              </w:rPr>
              <w:t>Fax #: (303) 333-0708</w:t>
            </w:r>
          </w:p>
          <w:p>
            <w:pPr>
              <w:pStyle w:val="TableParagraph"/>
              <w:spacing w:line="270" w:lineRule="atLeast"/>
              <w:ind w:right="2589"/>
              <w:rPr>
                <w:sz w:val="24"/>
              </w:rPr>
            </w:pPr>
            <w:r>
              <w:rPr>
                <w:sz w:val="24"/>
              </w:rPr>
              <w:t>E-m</w:t>
            </w:r>
            <w:hyperlink r:id="rId7">
              <w:r>
                <w:rPr>
                  <w:sz w:val="24"/>
                </w:rPr>
                <w:t>ail: Robert@AbramsLaw.net</w:t>
              </w:r>
            </w:hyperlink>
            <w:r>
              <w:rPr>
                <w:sz w:val="24"/>
              </w:rPr>
              <w:t> Atty. Reg. # 37950</w:t>
            </w:r>
          </w:p>
        </w:tc>
        <w:tc>
          <w:tcPr>
            <w:tcW w:w="3420" w:type="dxa"/>
            <w:tcBorders>
              <w:top w:val="nil"/>
            </w:tcBorders>
          </w:tcPr>
          <w:p>
            <w:pPr>
              <w:pStyle w:val="TableParagraph"/>
              <w:ind w:left="0"/>
              <w:rPr>
                <w:sz w:val="22"/>
              </w:rPr>
            </w:pPr>
          </w:p>
        </w:tc>
      </w:tr>
      <w:tr>
        <w:trPr>
          <w:trHeight w:val="1058" w:hRule="atLeast"/>
        </w:trPr>
        <w:tc>
          <w:tcPr>
            <w:tcW w:w="9340" w:type="dxa"/>
            <w:gridSpan w:val="2"/>
          </w:tcPr>
          <w:p>
            <w:pPr>
              <w:pStyle w:val="TableParagraph"/>
              <w:spacing w:before="229"/>
              <w:ind w:left="3032" w:right="910" w:hanging="2093"/>
              <w:rPr>
                <w:b/>
                <w:sz w:val="24"/>
              </w:rPr>
            </w:pPr>
            <w:r>
              <w:rPr>
                <w:b/>
                <w:sz w:val="24"/>
              </w:rPr>
              <w:t>PLAINTIFFS’ MOTION TO RECONSIDER TRIAL CONTINUATION PURSUANT TO C.R.C.P. 60(b)</w:t>
            </w:r>
          </w:p>
        </w:tc>
      </w:tr>
    </w:tbl>
    <w:p>
      <w:pPr>
        <w:pStyle w:val="BodyText"/>
        <w:ind w:left="0"/>
        <w:rPr>
          <w:sz w:val="20"/>
        </w:rPr>
      </w:pPr>
      <w:r>
        <w:rPr/>
        <w:pict>
          <v:shape style="position:absolute;margin-left:379.050293pt;margin-top:265.383392pt;width:10pt;height:10pt;mso-position-horizontal-relative:page;mso-position-vertical-relative:page;z-index:-6832" coordorigin="7581,5308" coordsize="200,200" path="m7681,5308l7581,5508,7781,5508,7681,5308xe" filled="true" fillcolor="#000000" stroked="false">
            <v:path arrowok="t"/>
            <v:fill type="solid"/>
            <w10:wrap type="none"/>
          </v:shape>
        </w:pict>
      </w:r>
      <w:r>
        <w:rPr/>
        <w:pict>
          <v:shape style="position:absolute;margin-left:513.800171pt;margin-top:265.383392pt;width:10pt;height:10pt;mso-position-horizontal-relative:page;mso-position-vertical-relative:page;z-index:-6808" coordorigin="10276,5308" coordsize="200,200" path="m10376,5308l10276,5508,10476,5508,10376,5308xe" filled="true" fillcolor="#000000" stroked="false">
            <v:path arrowok="t"/>
            <v:fill type="solid"/>
            <w10:wrap type="none"/>
          </v:shape>
        </w:pict>
      </w:r>
    </w:p>
    <w:p>
      <w:pPr>
        <w:pStyle w:val="BodyText"/>
        <w:spacing w:before="10"/>
        <w:ind w:left="0"/>
        <w:rPr>
          <w:sz w:val="19"/>
        </w:rPr>
      </w:pPr>
    </w:p>
    <w:p>
      <w:pPr>
        <w:pStyle w:val="BodyText"/>
        <w:spacing w:line="480" w:lineRule="auto" w:before="90"/>
        <w:ind w:right="197" w:firstLine="720"/>
        <w:jc w:val="both"/>
      </w:pPr>
      <w:r>
        <w:rPr/>
        <w:t>COMES NOW, Plaintiffs Robert Abrams and Abrams &amp; Associates, LLC, by their attorneys at Silver Law Firm, LLC and Abrams &amp; Associates, LLC, and hereby file their Motion to Reconsider Trial Continuation. In support thereof, Plaintiffs state and allege as follows:</w:t>
      </w:r>
    </w:p>
    <w:p>
      <w:pPr>
        <w:spacing w:after="0" w:line="480" w:lineRule="auto"/>
        <w:jc w:val="both"/>
        <w:sectPr>
          <w:footerReference w:type="default" r:id="rId5"/>
          <w:type w:val="continuous"/>
          <w:pgSz w:w="12240" w:h="15840"/>
          <w:pgMar w:footer="1065" w:top="1440" w:bottom="1260" w:left="1320" w:right="1240"/>
          <w:pgNumType w:start="1"/>
        </w:sectPr>
      </w:pPr>
    </w:p>
    <w:p>
      <w:pPr>
        <w:pStyle w:val="BodyText"/>
        <w:spacing w:before="76"/>
        <w:ind w:left="840"/>
      </w:pPr>
      <w:r>
        <w:rPr>
          <w:u w:val="single"/>
        </w:rPr>
        <w:t>C.R.C.P. 121 § 1-15, ¶8 Certification</w:t>
      </w:r>
      <w:r>
        <w:rPr/>
        <w:t>: Plaintiff contacted defense counsel in good faith</w:t>
      </w:r>
    </w:p>
    <w:p>
      <w:pPr>
        <w:pStyle w:val="BodyText"/>
        <w:spacing w:before="2"/>
        <w:ind w:left="0"/>
        <w:rPr>
          <w:sz w:val="16"/>
        </w:rPr>
      </w:pPr>
    </w:p>
    <w:p>
      <w:pPr>
        <w:pStyle w:val="BodyText"/>
        <w:spacing w:before="90"/>
      </w:pPr>
      <w:r>
        <w:rPr/>
        <w:t>regarding this Motion. Defendant opposes the relief requested herein.</w:t>
      </w:r>
    </w:p>
    <w:p>
      <w:pPr>
        <w:pStyle w:val="BodyText"/>
        <w:spacing w:before="3"/>
        <w:ind w:left="0"/>
      </w:pPr>
    </w:p>
    <w:p>
      <w:pPr>
        <w:pStyle w:val="Heading1"/>
        <w:ind w:left="3590"/>
        <w:rPr>
          <w:u w:val="none"/>
        </w:rPr>
      </w:pPr>
      <w:r>
        <w:rPr>
          <w:u w:val="thick"/>
        </w:rPr>
        <w:t>INTRODUCTION</w:t>
      </w:r>
    </w:p>
    <w:p>
      <w:pPr>
        <w:pStyle w:val="BodyText"/>
        <w:spacing w:before="5"/>
        <w:ind w:left="0"/>
        <w:rPr>
          <w:b/>
          <w:sz w:val="26"/>
        </w:rPr>
      </w:pPr>
    </w:p>
    <w:p>
      <w:pPr>
        <w:pStyle w:val="ListParagraph"/>
        <w:numPr>
          <w:ilvl w:val="0"/>
          <w:numId w:val="1"/>
        </w:numPr>
        <w:tabs>
          <w:tab w:pos="1470" w:val="left" w:leader="none"/>
        </w:tabs>
        <w:spacing w:line="480" w:lineRule="auto" w:before="90" w:after="0"/>
        <w:ind w:left="120" w:right="197" w:firstLine="720"/>
        <w:jc w:val="both"/>
        <w:rPr>
          <w:sz w:val="24"/>
        </w:rPr>
      </w:pPr>
      <w:r>
        <w:rPr>
          <w:sz w:val="24"/>
        </w:rPr>
        <w:t>Plaintiffs Abrams &amp; Associates, LLC and Robert Abrams (hereinafter “Plaintiffs”) file this Motion to Reconsider requesting the court reconsider its ruling on continuing the trial date,</w:t>
      </w:r>
      <w:r>
        <w:rPr>
          <w:spacing w:val="7"/>
          <w:sz w:val="24"/>
        </w:rPr>
        <w:t> </w:t>
      </w:r>
      <w:r>
        <w:rPr>
          <w:sz w:val="24"/>
        </w:rPr>
        <w:t>where</w:t>
      </w:r>
      <w:r>
        <w:rPr>
          <w:spacing w:val="6"/>
          <w:sz w:val="24"/>
        </w:rPr>
        <w:t> </w:t>
      </w:r>
      <w:r>
        <w:rPr>
          <w:sz w:val="24"/>
        </w:rPr>
        <w:t>the</w:t>
      </w:r>
      <w:r>
        <w:rPr>
          <w:spacing w:val="7"/>
          <w:sz w:val="24"/>
        </w:rPr>
        <w:t> </w:t>
      </w:r>
      <w:r>
        <w:rPr>
          <w:sz w:val="24"/>
        </w:rPr>
        <w:t>court</w:t>
      </w:r>
      <w:r>
        <w:rPr>
          <w:spacing w:val="6"/>
          <w:sz w:val="24"/>
        </w:rPr>
        <w:t> </w:t>
      </w:r>
      <w:r>
        <w:rPr>
          <w:sz w:val="24"/>
        </w:rPr>
        <w:t>is</w:t>
      </w:r>
      <w:r>
        <w:rPr>
          <w:spacing w:val="6"/>
          <w:sz w:val="24"/>
        </w:rPr>
        <w:t> </w:t>
      </w:r>
      <w:r>
        <w:rPr>
          <w:sz w:val="24"/>
        </w:rPr>
        <w:t>allowing</w:t>
      </w:r>
      <w:r>
        <w:rPr>
          <w:spacing w:val="7"/>
          <w:sz w:val="24"/>
        </w:rPr>
        <w:t> </w:t>
      </w:r>
      <w:r>
        <w:rPr>
          <w:sz w:val="24"/>
        </w:rPr>
        <w:t>defendant</w:t>
      </w:r>
      <w:r>
        <w:rPr>
          <w:spacing w:val="6"/>
          <w:sz w:val="24"/>
        </w:rPr>
        <w:t> </w:t>
      </w:r>
      <w:r>
        <w:rPr>
          <w:sz w:val="24"/>
        </w:rPr>
        <w:t>to</w:t>
      </w:r>
      <w:r>
        <w:rPr>
          <w:spacing w:val="7"/>
          <w:sz w:val="24"/>
        </w:rPr>
        <w:t> </w:t>
      </w:r>
      <w:r>
        <w:rPr>
          <w:sz w:val="24"/>
        </w:rPr>
        <w:t>put</w:t>
      </w:r>
      <w:r>
        <w:rPr>
          <w:spacing w:val="7"/>
          <w:sz w:val="24"/>
        </w:rPr>
        <w:t> </w:t>
      </w:r>
      <w:r>
        <w:rPr>
          <w:sz w:val="24"/>
        </w:rPr>
        <w:t>forth</w:t>
      </w:r>
      <w:r>
        <w:rPr>
          <w:spacing w:val="6"/>
          <w:sz w:val="24"/>
        </w:rPr>
        <w:t> </w:t>
      </w:r>
      <w:r>
        <w:rPr>
          <w:sz w:val="24"/>
          <w:u w:val="single"/>
        </w:rPr>
        <w:t>future</w:t>
      </w:r>
      <w:r>
        <w:rPr>
          <w:spacing w:val="7"/>
          <w:sz w:val="24"/>
          <w:u w:val="single"/>
        </w:rPr>
        <w:t> </w:t>
      </w:r>
      <w:r>
        <w:rPr>
          <w:sz w:val="24"/>
          <w:u w:val="single"/>
        </w:rPr>
        <w:t>damages</w:t>
      </w:r>
      <w:r>
        <w:rPr>
          <w:spacing w:val="7"/>
          <w:sz w:val="24"/>
          <w:u w:val="single"/>
        </w:rPr>
        <w:t> </w:t>
      </w:r>
      <w:r>
        <w:rPr>
          <w:sz w:val="24"/>
          <w:u w:val="single"/>
        </w:rPr>
        <w:t>for</w:t>
      </w:r>
      <w:r>
        <w:rPr>
          <w:spacing w:val="7"/>
          <w:sz w:val="24"/>
          <w:u w:val="single"/>
        </w:rPr>
        <w:t> </w:t>
      </w:r>
      <w:r>
        <w:rPr>
          <w:sz w:val="24"/>
          <w:u w:val="single"/>
        </w:rPr>
        <w:t>shoulder</w:t>
      </w:r>
      <w:r>
        <w:rPr>
          <w:spacing w:val="6"/>
          <w:sz w:val="24"/>
          <w:u w:val="single"/>
        </w:rPr>
        <w:t> </w:t>
      </w:r>
      <w:r>
        <w:rPr>
          <w:sz w:val="24"/>
          <w:u w:val="single"/>
        </w:rPr>
        <w:t>injuries</w:t>
      </w:r>
      <w:r>
        <w:rPr>
          <w:spacing w:val="6"/>
          <w:sz w:val="24"/>
        </w:rPr>
        <w:t> </w:t>
      </w:r>
      <w:r>
        <w:rPr>
          <w:sz w:val="24"/>
        </w:rPr>
        <w:t>that</w:t>
      </w:r>
    </w:p>
    <w:p>
      <w:pPr>
        <w:spacing w:line="480" w:lineRule="auto" w:before="0"/>
        <w:ind w:left="120" w:right="197" w:firstLine="0"/>
        <w:jc w:val="left"/>
        <w:rPr>
          <w:i/>
          <w:sz w:val="24"/>
        </w:rPr>
      </w:pPr>
      <w:r>
        <w:rPr>
          <w:sz w:val="24"/>
        </w:rPr>
        <w:t>his prior attorney Mike Boyce failed to pursue during the one year long litigation. </w:t>
      </w:r>
      <w:r>
        <w:rPr>
          <w:i/>
          <w:sz w:val="24"/>
        </w:rPr>
        <w:t>Exhibit 3, p.4 </w:t>
      </w:r>
      <w:r>
        <w:rPr>
          <w:i/>
          <w:sz w:val="24"/>
        </w:rPr>
        <w:t>line 15-17.</w:t>
      </w:r>
    </w:p>
    <w:p>
      <w:pPr>
        <w:pStyle w:val="ListParagraph"/>
        <w:numPr>
          <w:ilvl w:val="0"/>
          <w:numId w:val="1"/>
        </w:numPr>
        <w:tabs>
          <w:tab w:pos="1470" w:val="left" w:leader="none"/>
        </w:tabs>
        <w:spacing w:line="480" w:lineRule="auto" w:before="0" w:after="0"/>
        <w:ind w:left="120" w:right="106" w:firstLine="720"/>
        <w:jc w:val="both"/>
        <w:rPr>
          <w:sz w:val="24"/>
        </w:rPr>
      </w:pPr>
      <w:r>
        <w:rPr>
          <w:sz w:val="24"/>
        </w:rPr>
        <w:t>Trial in this matter was scheduled for May 2, 2016. The Court abused its authority when it disregarded the Rules of Civil Procedure, to benefit Judge Vellejos’ personal friend and ex-mentee, Mike Boyce, who the judge personally supervised as Mr. Boyce’s mentor for five years at the public defender’s</w:t>
      </w:r>
      <w:r>
        <w:rPr>
          <w:spacing w:val="-2"/>
          <w:sz w:val="24"/>
        </w:rPr>
        <w:t> </w:t>
      </w:r>
      <w:r>
        <w:rPr>
          <w:sz w:val="24"/>
        </w:rPr>
        <w:t>office.</w:t>
      </w:r>
    </w:p>
    <w:p>
      <w:pPr>
        <w:pStyle w:val="ListParagraph"/>
        <w:numPr>
          <w:ilvl w:val="0"/>
          <w:numId w:val="1"/>
        </w:numPr>
        <w:tabs>
          <w:tab w:pos="1470" w:val="left" w:leader="none"/>
        </w:tabs>
        <w:spacing w:line="480" w:lineRule="auto" w:before="0" w:after="0"/>
        <w:ind w:left="120" w:right="198" w:firstLine="720"/>
        <w:jc w:val="both"/>
        <w:rPr>
          <w:sz w:val="24"/>
        </w:rPr>
      </w:pPr>
      <w:r>
        <w:rPr>
          <w:sz w:val="24"/>
        </w:rPr>
        <w:t>On June 12, 2015, plaintiffs filed a motion to recuse against the judge on this very issue for fear something like this favoritism could or might arise during the litigation. The court denied the motion almost as if to stay in the case to watch his friend and perhaps protect him. A judge is not qualified to hear a case if he “is in any way interested or prejudiced with respect to the</w:t>
      </w:r>
      <w:r>
        <w:rPr>
          <w:spacing w:val="5"/>
          <w:sz w:val="24"/>
        </w:rPr>
        <w:t> </w:t>
      </w:r>
      <w:r>
        <w:rPr>
          <w:sz w:val="24"/>
        </w:rPr>
        <w:t>case,</w:t>
      </w:r>
      <w:r>
        <w:rPr>
          <w:spacing w:val="5"/>
          <w:sz w:val="24"/>
        </w:rPr>
        <w:t> </w:t>
      </w:r>
      <w:r>
        <w:rPr>
          <w:sz w:val="24"/>
        </w:rPr>
        <w:t>the</w:t>
      </w:r>
      <w:r>
        <w:rPr>
          <w:spacing w:val="5"/>
          <w:sz w:val="24"/>
        </w:rPr>
        <w:t> </w:t>
      </w:r>
      <w:r>
        <w:rPr>
          <w:sz w:val="24"/>
        </w:rPr>
        <w:t>parties,</w:t>
      </w:r>
      <w:r>
        <w:rPr>
          <w:spacing w:val="3"/>
          <w:sz w:val="24"/>
        </w:rPr>
        <w:t> </w:t>
      </w:r>
      <w:r>
        <w:rPr>
          <w:sz w:val="24"/>
          <w:u w:val="single"/>
        </w:rPr>
        <w:t>or</w:t>
      </w:r>
      <w:r>
        <w:rPr>
          <w:spacing w:val="5"/>
          <w:sz w:val="24"/>
          <w:u w:val="single"/>
        </w:rPr>
        <w:t> </w:t>
      </w:r>
      <w:r>
        <w:rPr>
          <w:sz w:val="24"/>
          <w:u w:val="single"/>
        </w:rPr>
        <w:t>counsel</w:t>
      </w:r>
      <w:r>
        <w:rPr>
          <w:sz w:val="24"/>
        </w:rPr>
        <w:t>.</w:t>
      </w:r>
      <w:r>
        <w:rPr>
          <w:spacing w:val="11"/>
          <w:sz w:val="24"/>
        </w:rPr>
        <w:t> </w:t>
      </w:r>
      <w:r>
        <w:rPr>
          <w:sz w:val="24"/>
        </w:rPr>
        <w:t>§</w:t>
      </w:r>
      <w:r>
        <w:rPr>
          <w:spacing w:val="5"/>
          <w:sz w:val="24"/>
        </w:rPr>
        <w:t> </w:t>
      </w:r>
      <w:r>
        <w:rPr>
          <w:sz w:val="24"/>
        </w:rPr>
        <w:t>16-6-201(1)(d),</w:t>
      </w:r>
      <w:r>
        <w:rPr>
          <w:spacing w:val="5"/>
          <w:sz w:val="24"/>
        </w:rPr>
        <w:t> </w:t>
      </w:r>
      <w:r>
        <w:rPr>
          <w:sz w:val="24"/>
        </w:rPr>
        <w:t>C.R.S.</w:t>
      </w:r>
      <w:r>
        <w:rPr>
          <w:spacing w:val="5"/>
          <w:sz w:val="24"/>
        </w:rPr>
        <w:t> </w:t>
      </w:r>
      <w:r>
        <w:rPr>
          <w:sz w:val="24"/>
        </w:rPr>
        <w:t>2009.</w:t>
      </w:r>
      <w:r>
        <w:rPr>
          <w:spacing w:val="6"/>
          <w:sz w:val="24"/>
        </w:rPr>
        <w:t> </w:t>
      </w:r>
      <w:r>
        <w:rPr>
          <w:sz w:val="24"/>
        </w:rPr>
        <w:t>Further,</w:t>
      </w:r>
      <w:r>
        <w:rPr>
          <w:spacing w:val="5"/>
          <w:sz w:val="24"/>
        </w:rPr>
        <w:t> </w:t>
      </w:r>
      <w:r>
        <w:rPr>
          <w:sz w:val="24"/>
        </w:rPr>
        <w:t>a</w:t>
      </w:r>
      <w:r>
        <w:rPr>
          <w:spacing w:val="5"/>
          <w:sz w:val="24"/>
        </w:rPr>
        <w:t> </w:t>
      </w:r>
      <w:r>
        <w:rPr>
          <w:sz w:val="24"/>
        </w:rPr>
        <w:t>judge</w:t>
      </w:r>
      <w:r>
        <w:rPr>
          <w:spacing w:val="5"/>
          <w:sz w:val="24"/>
        </w:rPr>
        <w:t> </w:t>
      </w:r>
      <w:r>
        <w:rPr>
          <w:sz w:val="24"/>
        </w:rPr>
        <w:t>should</w:t>
      </w:r>
    </w:p>
    <w:p>
      <w:pPr>
        <w:pStyle w:val="BodyText"/>
        <w:spacing w:line="275" w:lineRule="exact"/>
      </w:pPr>
      <w:r>
        <w:rPr/>
        <w:t>disqualify  himself  “in  a  proceeding  in  which  the  judge's  impartiality  </w:t>
      </w:r>
      <w:r>
        <w:rPr>
          <w:spacing w:val="10"/>
        </w:rPr>
        <w:t> </w:t>
      </w:r>
      <w:r>
        <w:rPr>
          <w:u w:val="single"/>
        </w:rPr>
        <w:t>might  reasonably  be</w:t>
      </w:r>
    </w:p>
    <w:p>
      <w:pPr>
        <w:pStyle w:val="BodyText"/>
        <w:spacing w:before="2"/>
        <w:ind w:left="0"/>
        <w:rPr>
          <w:sz w:val="16"/>
        </w:rPr>
      </w:pPr>
    </w:p>
    <w:p>
      <w:pPr>
        <w:pStyle w:val="BodyText"/>
        <w:spacing w:before="90"/>
      </w:pPr>
      <w:r>
        <w:rPr>
          <w:u w:val="single"/>
        </w:rPr>
        <w:t>questioned</w:t>
      </w:r>
      <w:r>
        <w:rPr/>
        <w:t>.” C.J.C. 3(C)(1). Thus, a judge should recuse himself whether bias is actual or</w:t>
      </w:r>
      <w:r>
        <w:rPr>
          <w:spacing w:val="2"/>
        </w:rPr>
        <w:t> </w:t>
      </w:r>
      <w:r>
        <w:rPr/>
        <w:t>merely</w:t>
      </w:r>
    </w:p>
    <w:p>
      <w:pPr>
        <w:pStyle w:val="BodyText"/>
        <w:spacing w:before="2"/>
        <w:ind w:left="0"/>
        <w:rPr>
          <w:sz w:val="16"/>
        </w:rPr>
      </w:pPr>
    </w:p>
    <w:p>
      <w:pPr>
        <w:spacing w:line="480" w:lineRule="auto" w:before="90"/>
        <w:ind w:left="120" w:right="197" w:firstLine="0"/>
        <w:jc w:val="both"/>
        <w:rPr>
          <w:i/>
          <w:sz w:val="24"/>
        </w:rPr>
      </w:pPr>
      <w:r>
        <w:rPr>
          <w:sz w:val="24"/>
        </w:rPr>
        <w:t>apparent. </w:t>
      </w:r>
      <w:r>
        <w:rPr>
          <w:i/>
          <w:sz w:val="24"/>
        </w:rPr>
        <w:t>Wilkerson v. District Court, </w:t>
      </w:r>
      <w:r>
        <w:rPr>
          <w:sz w:val="24"/>
        </w:rPr>
        <w:t>925 P.2d 1373, 1376 (Colo.1996). Here, Judge Vallejos’ past direct supervision of defense counsel in the public defender’s office, along with his standing compliments and admission of closeness to opposing counsel, may cause impartiality with respect   to   defense   counsel.   </w:t>
      </w:r>
      <w:r>
        <w:rPr>
          <w:i/>
          <w:sz w:val="24"/>
        </w:rPr>
        <w:t>Exhibit   1,   Plaintiffs’   Motion   to   Recuse   ICCES   Trans  </w:t>
      </w:r>
      <w:r>
        <w:rPr>
          <w:i/>
          <w:spacing w:val="48"/>
          <w:sz w:val="24"/>
        </w:rPr>
        <w:t> </w:t>
      </w:r>
      <w:r>
        <w:rPr>
          <w:i/>
          <w:sz w:val="24"/>
        </w:rPr>
        <w:t>#</w:t>
      </w:r>
    </w:p>
    <w:p>
      <w:pPr>
        <w:spacing w:after="0" w:line="480" w:lineRule="auto"/>
        <w:jc w:val="both"/>
        <w:rPr>
          <w:sz w:val="24"/>
        </w:rPr>
        <w:sectPr>
          <w:pgSz w:w="12240" w:h="15840"/>
          <w:pgMar w:header="0" w:footer="1065" w:top="1360" w:bottom="1260" w:left="1320" w:right="1240"/>
        </w:sectPr>
      </w:pPr>
    </w:p>
    <w:p>
      <w:pPr>
        <w:pStyle w:val="BodyText"/>
        <w:spacing w:line="480" w:lineRule="auto" w:before="76"/>
        <w:ind w:right="197"/>
        <w:jc w:val="both"/>
      </w:pPr>
      <w:r>
        <w:rPr>
          <w:i/>
        </w:rPr>
        <w:t>ACF9EFE67B554. </w:t>
      </w:r>
      <w:r>
        <w:rPr/>
        <w:t>Additionally, on or about September 11, 2015, the parties in this matter held a hearing whereby Judge Vallejos informed plaintiffs he received a personal e-mail from Mike Boyce, regarding an alleged assault claim against Mr. Abrams, which amounted to a</w:t>
      </w:r>
      <w:r>
        <w:rPr>
          <w:spacing w:val="38"/>
        </w:rPr>
        <w:t> </w:t>
      </w:r>
      <w:r>
        <w:rPr/>
        <w:t>very improper ex-parte communication between the judge and Mr. Boyce. How Mr. Boyce would have the judge’s e-mail is very interesting. Ex-parte communications, during litigation, are not allowed under the Professional Rules of Conduct. Mr. Boyce patently violated this Rule and the court notified plaintiffs of same. However, to this date, the court failed to share this communication with plaintiffs and Mr. Boyce refused to share it after plaintiffs requested</w:t>
      </w:r>
      <w:r>
        <w:rPr>
          <w:spacing w:val="-18"/>
        </w:rPr>
        <w:t> </w:t>
      </w:r>
      <w:r>
        <w:rPr/>
        <w:t>same.</w:t>
      </w:r>
    </w:p>
    <w:p>
      <w:pPr>
        <w:pStyle w:val="ListParagraph"/>
        <w:numPr>
          <w:ilvl w:val="0"/>
          <w:numId w:val="1"/>
        </w:numPr>
        <w:tabs>
          <w:tab w:pos="1530" w:val="left" w:leader="none"/>
        </w:tabs>
        <w:spacing w:line="480" w:lineRule="auto" w:before="1" w:after="0"/>
        <w:ind w:left="120" w:right="195" w:firstLine="720"/>
        <w:jc w:val="both"/>
        <w:rPr>
          <w:sz w:val="24"/>
        </w:rPr>
      </w:pPr>
      <w:r>
        <w:rPr>
          <w:sz w:val="24"/>
        </w:rPr>
        <w:t>Now, on Friday April 29</w:t>
      </w:r>
      <w:r>
        <w:rPr>
          <w:sz w:val="24"/>
          <w:vertAlign w:val="superscript"/>
        </w:rPr>
        <w:t>th</w:t>
      </w:r>
      <w:r>
        <w:rPr>
          <w:sz w:val="24"/>
          <w:vertAlign w:val="baseline"/>
        </w:rPr>
        <w:t>, the day before trial, with no notice whatsoever to plaintiffs or the court, hidden under defendant’s motion in limine hearing, Mr. Boyce surprises the court and plaintiffs with a motion to continue trial based upon his “ineffective assistance of counsel.” (“IAC”). </w:t>
      </w:r>
      <w:r>
        <w:rPr>
          <w:i/>
          <w:sz w:val="24"/>
          <w:vertAlign w:val="baseline"/>
        </w:rPr>
        <w:t>Exhibit 2, Hearing Transcript, Apr. 29, 2016, </w:t>
      </w:r>
      <w:r>
        <w:rPr>
          <w:sz w:val="24"/>
          <w:vertAlign w:val="baseline"/>
        </w:rPr>
        <w:t>p. 3 ln. 3 – p.4 ln. 1. Plaintiffs vehemently objected because ineffective assistance of counsel is no basis to continue a trial. The court disregarded all of plaintiffs’ arguments regarding same, arguably to protect Mr. Boyce from a malpractice lawsuit. To continue the trial on Mr. Boyce’s hidden Crim. Proc. 35(c) basis, which does not apply in civil court, the court had to throw away the Rules of Civil Procedure and the basis for continuances defined in </w:t>
      </w:r>
      <w:r>
        <w:rPr>
          <w:i/>
          <w:sz w:val="24"/>
          <w:vertAlign w:val="baseline"/>
        </w:rPr>
        <w:t>Todd v. Bear Valley. </w:t>
      </w:r>
      <w:r>
        <w:rPr>
          <w:sz w:val="24"/>
          <w:vertAlign w:val="baseline"/>
        </w:rPr>
        <w:t>Defendant and Boyce benefitted from his negligence, to the prejudice of plaintiff, when there was an adequate remedy at law available to defendant on this very issue--legal malpractice against Mr.</w:t>
      </w:r>
      <w:r>
        <w:rPr>
          <w:spacing w:val="-9"/>
          <w:sz w:val="24"/>
          <w:vertAlign w:val="baseline"/>
        </w:rPr>
        <w:t> </w:t>
      </w:r>
      <w:r>
        <w:rPr>
          <w:sz w:val="24"/>
          <w:vertAlign w:val="baseline"/>
        </w:rPr>
        <w:t>Boyce.</w:t>
      </w:r>
    </w:p>
    <w:p>
      <w:pPr>
        <w:pStyle w:val="ListParagraph"/>
        <w:numPr>
          <w:ilvl w:val="0"/>
          <w:numId w:val="1"/>
        </w:numPr>
        <w:tabs>
          <w:tab w:pos="1470" w:val="left" w:leader="none"/>
        </w:tabs>
        <w:spacing w:line="480" w:lineRule="auto" w:before="0" w:after="0"/>
        <w:ind w:left="120" w:right="199" w:firstLine="720"/>
        <w:jc w:val="both"/>
        <w:rPr>
          <w:sz w:val="24"/>
        </w:rPr>
      </w:pPr>
      <w:r>
        <w:rPr>
          <w:sz w:val="24"/>
        </w:rPr>
        <w:t>It appears the court considered Mr. Boyce’s basic admission of legal malpractice, as a personal favor to Boyce, his ex-mentee and continued the trial. </w:t>
      </w:r>
      <w:r>
        <w:rPr>
          <w:i/>
          <w:sz w:val="24"/>
        </w:rPr>
        <w:t>Exhibit 2, </w:t>
      </w:r>
      <w:r>
        <w:rPr>
          <w:sz w:val="24"/>
        </w:rPr>
        <w:t>p. 3, line 17-22; 9 ln.</w:t>
      </w:r>
      <w:r>
        <w:rPr>
          <w:spacing w:val="7"/>
          <w:sz w:val="24"/>
        </w:rPr>
        <w:t> </w:t>
      </w:r>
      <w:r>
        <w:rPr>
          <w:sz w:val="24"/>
        </w:rPr>
        <w:t>20</w:t>
      </w:r>
      <w:r>
        <w:rPr>
          <w:spacing w:val="8"/>
          <w:sz w:val="24"/>
        </w:rPr>
        <w:t> </w:t>
      </w:r>
      <w:r>
        <w:rPr>
          <w:sz w:val="24"/>
        </w:rPr>
        <w:t>–24;</w:t>
      </w:r>
      <w:r>
        <w:rPr>
          <w:spacing w:val="8"/>
          <w:sz w:val="24"/>
        </w:rPr>
        <w:t> </w:t>
      </w:r>
      <w:r>
        <w:rPr>
          <w:sz w:val="24"/>
        </w:rPr>
        <w:t>p.</w:t>
      </w:r>
      <w:r>
        <w:rPr>
          <w:spacing w:val="7"/>
          <w:sz w:val="24"/>
        </w:rPr>
        <w:t> </w:t>
      </w:r>
      <w:r>
        <w:rPr>
          <w:sz w:val="24"/>
        </w:rPr>
        <w:t>14</w:t>
      </w:r>
      <w:r>
        <w:rPr>
          <w:spacing w:val="8"/>
          <w:sz w:val="24"/>
        </w:rPr>
        <w:t> </w:t>
      </w:r>
      <w:r>
        <w:rPr>
          <w:sz w:val="24"/>
        </w:rPr>
        <w:t>ln.</w:t>
      </w:r>
      <w:r>
        <w:rPr>
          <w:spacing w:val="8"/>
          <w:sz w:val="24"/>
        </w:rPr>
        <w:t> </w:t>
      </w:r>
      <w:r>
        <w:rPr>
          <w:sz w:val="24"/>
        </w:rPr>
        <w:t>8-13.</w:t>
      </w:r>
      <w:r>
        <w:rPr>
          <w:spacing w:val="7"/>
          <w:sz w:val="24"/>
        </w:rPr>
        <w:t> </w:t>
      </w:r>
      <w:r>
        <w:rPr>
          <w:i/>
          <w:sz w:val="24"/>
        </w:rPr>
        <w:t>See</w:t>
      </w:r>
      <w:r>
        <w:rPr>
          <w:i/>
          <w:spacing w:val="8"/>
          <w:sz w:val="24"/>
        </w:rPr>
        <w:t> </w:t>
      </w:r>
      <w:r>
        <w:rPr>
          <w:i/>
          <w:sz w:val="24"/>
        </w:rPr>
        <w:t>also</w:t>
      </w:r>
      <w:r>
        <w:rPr>
          <w:i/>
          <w:spacing w:val="7"/>
          <w:sz w:val="24"/>
        </w:rPr>
        <w:t> </w:t>
      </w:r>
      <w:r>
        <w:rPr>
          <w:i/>
          <w:sz w:val="24"/>
        </w:rPr>
        <w:t>Exhibit</w:t>
      </w:r>
      <w:r>
        <w:rPr>
          <w:i/>
          <w:spacing w:val="8"/>
          <w:sz w:val="24"/>
        </w:rPr>
        <w:t> </w:t>
      </w:r>
      <w:r>
        <w:rPr>
          <w:i/>
          <w:sz w:val="24"/>
        </w:rPr>
        <w:t>3</w:t>
      </w:r>
      <w:r>
        <w:rPr>
          <w:sz w:val="24"/>
        </w:rPr>
        <w:t>,</w:t>
      </w:r>
      <w:r>
        <w:rPr>
          <w:spacing w:val="7"/>
          <w:sz w:val="24"/>
        </w:rPr>
        <w:t> </w:t>
      </w:r>
      <w:r>
        <w:rPr>
          <w:i/>
          <w:sz w:val="24"/>
        </w:rPr>
        <w:t>Hearing</w:t>
      </w:r>
      <w:r>
        <w:rPr>
          <w:i/>
          <w:spacing w:val="8"/>
          <w:sz w:val="24"/>
        </w:rPr>
        <w:t> </w:t>
      </w:r>
      <w:r>
        <w:rPr>
          <w:i/>
          <w:sz w:val="24"/>
        </w:rPr>
        <w:t>Transcript,</w:t>
      </w:r>
      <w:r>
        <w:rPr>
          <w:i/>
          <w:spacing w:val="7"/>
          <w:sz w:val="24"/>
        </w:rPr>
        <w:t> </w:t>
      </w:r>
      <w:r>
        <w:rPr>
          <w:i/>
          <w:sz w:val="24"/>
        </w:rPr>
        <w:t>May</w:t>
      </w:r>
      <w:r>
        <w:rPr>
          <w:i/>
          <w:spacing w:val="6"/>
          <w:sz w:val="24"/>
        </w:rPr>
        <w:t> </w:t>
      </w:r>
      <w:r>
        <w:rPr>
          <w:i/>
          <w:sz w:val="24"/>
        </w:rPr>
        <w:t>20,</w:t>
      </w:r>
      <w:r>
        <w:rPr>
          <w:i/>
          <w:spacing w:val="8"/>
          <w:sz w:val="24"/>
        </w:rPr>
        <w:t> </w:t>
      </w:r>
      <w:r>
        <w:rPr>
          <w:i/>
          <w:sz w:val="24"/>
        </w:rPr>
        <w:t>2016</w:t>
      </w:r>
      <w:r>
        <w:rPr>
          <w:sz w:val="24"/>
        </w:rPr>
        <w:t>,</w:t>
      </w:r>
      <w:r>
        <w:rPr>
          <w:spacing w:val="8"/>
          <w:sz w:val="24"/>
        </w:rPr>
        <w:t> </w:t>
      </w:r>
      <w:r>
        <w:rPr>
          <w:sz w:val="24"/>
        </w:rPr>
        <w:t>p.</w:t>
      </w:r>
      <w:r>
        <w:rPr>
          <w:spacing w:val="8"/>
          <w:sz w:val="24"/>
        </w:rPr>
        <w:t> </w:t>
      </w:r>
      <w:r>
        <w:rPr>
          <w:sz w:val="24"/>
        </w:rPr>
        <w:t>6</w:t>
      </w:r>
      <w:r>
        <w:rPr>
          <w:spacing w:val="7"/>
          <w:sz w:val="24"/>
        </w:rPr>
        <w:t> </w:t>
      </w:r>
      <w:r>
        <w:rPr>
          <w:sz w:val="24"/>
        </w:rPr>
        <w:t>ln.</w:t>
      </w:r>
      <w:r>
        <w:rPr>
          <w:spacing w:val="8"/>
          <w:sz w:val="24"/>
        </w:rPr>
        <w:t> </w:t>
      </w:r>
      <w:r>
        <w:rPr>
          <w:sz w:val="24"/>
        </w:rPr>
        <w:t>8</w:t>
      </w:r>
      <w:r>
        <w:rPr>
          <w:spacing w:val="8"/>
          <w:sz w:val="24"/>
        </w:rPr>
        <w:t> </w:t>
      </w:r>
      <w:r>
        <w:rPr>
          <w:sz w:val="24"/>
        </w:rPr>
        <w:t>–</w:t>
      </w:r>
      <w:r>
        <w:rPr>
          <w:spacing w:val="7"/>
          <w:sz w:val="24"/>
        </w:rPr>
        <w:t> </w:t>
      </w:r>
      <w:r>
        <w:rPr>
          <w:sz w:val="24"/>
        </w:rPr>
        <w:t>16;</w:t>
      </w:r>
    </w:p>
    <w:p>
      <w:pPr>
        <w:pStyle w:val="BodyText"/>
        <w:jc w:val="both"/>
      </w:pPr>
      <w:r>
        <w:rPr/>
        <w:t>p. 7 line 19-- p. 9 ln. 6 – ln. 11. Judge Vallejos threw away the Rules on Civil Procedure,</w:t>
      </w:r>
    </w:p>
    <w:p>
      <w:pPr>
        <w:spacing w:after="0"/>
        <w:jc w:val="both"/>
        <w:sectPr>
          <w:pgSz w:w="12240" w:h="15840"/>
          <w:pgMar w:header="0" w:footer="1065" w:top="1360" w:bottom="1260" w:left="1320" w:right="1240"/>
        </w:sectPr>
      </w:pPr>
    </w:p>
    <w:p>
      <w:pPr>
        <w:pStyle w:val="BodyText"/>
        <w:spacing w:line="480" w:lineRule="auto" w:before="76"/>
        <w:ind w:right="197"/>
        <w:jc w:val="both"/>
      </w:pPr>
      <w:r>
        <w:rPr/>
        <w:t>arguably to benefit his friend, who admitted to committing legal malpractice. </w:t>
      </w:r>
      <w:r>
        <w:rPr>
          <w:i/>
        </w:rPr>
        <w:t>Id. </w:t>
      </w:r>
      <w:r>
        <w:rPr/>
        <w:t>And, the court used the excuse of being afraid of reversal on appeal, to go along with the continuance. </w:t>
      </w:r>
      <w:r>
        <w:rPr>
          <w:i/>
        </w:rPr>
        <w:t>Exhibit  </w:t>
      </w:r>
      <w:r>
        <w:rPr>
          <w:i/>
        </w:rPr>
        <w:t>2</w:t>
      </w:r>
      <w:r>
        <w:rPr/>
        <w:t>, p.7 ln.24 – p.8 ln. 4; p. 8 ln. 14 – ln. 18. Mike Boyce attempted to hide his malpractice under the criminal legal theory IAC, Crim. Proc. 35(c), a concept he is familiar with from practicing criminal law for 15</w:t>
      </w:r>
      <w:r>
        <w:rPr>
          <w:spacing w:val="-3"/>
        </w:rPr>
        <w:t> </w:t>
      </w:r>
      <w:r>
        <w:rPr/>
        <w:t>years.</w:t>
      </w:r>
    </w:p>
    <w:p>
      <w:pPr>
        <w:pStyle w:val="ListParagraph"/>
        <w:numPr>
          <w:ilvl w:val="0"/>
          <w:numId w:val="1"/>
        </w:numPr>
        <w:tabs>
          <w:tab w:pos="1470" w:val="left" w:leader="none"/>
        </w:tabs>
        <w:spacing w:line="480" w:lineRule="auto" w:before="1" w:after="0"/>
        <w:ind w:left="120" w:right="196" w:firstLine="720"/>
        <w:jc w:val="both"/>
        <w:rPr>
          <w:sz w:val="24"/>
        </w:rPr>
      </w:pPr>
      <w:r>
        <w:rPr>
          <w:sz w:val="24"/>
        </w:rPr>
        <w:t>Mike Boyce, sued Plaintiffs for battery and put forth some medical bills early on in the proceeding. So, Mr. Boyce was well aware of his obligation to prove his medical damages. </w:t>
      </w:r>
      <w:r>
        <w:rPr>
          <w:i/>
          <w:sz w:val="24"/>
        </w:rPr>
        <w:t>Exhibit 4,Medical Records. </w:t>
      </w:r>
      <w:r>
        <w:rPr>
          <w:sz w:val="24"/>
        </w:rPr>
        <w:t>With this knowledge, Mr. Boyce is a 15 year trial lawyer who failed to:</w:t>
      </w:r>
    </w:p>
    <w:p>
      <w:pPr>
        <w:pStyle w:val="ListParagraph"/>
        <w:numPr>
          <w:ilvl w:val="1"/>
          <w:numId w:val="1"/>
        </w:numPr>
        <w:tabs>
          <w:tab w:pos="1920" w:val="left" w:leader="none"/>
        </w:tabs>
        <w:spacing w:line="480" w:lineRule="auto" w:before="0" w:after="0"/>
        <w:ind w:left="1920" w:right="826" w:hanging="360"/>
        <w:jc w:val="both"/>
        <w:rPr>
          <w:sz w:val="24"/>
        </w:rPr>
      </w:pPr>
      <w:r>
        <w:rPr>
          <w:sz w:val="24"/>
        </w:rPr>
        <w:t>Conduct any discovery in this litigation. </w:t>
      </w:r>
      <w:r>
        <w:rPr>
          <w:i/>
          <w:sz w:val="24"/>
        </w:rPr>
        <w:t>Exhibit 5. Pleading Log. See </w:t>
      </w:r>
      <w:r>
        <w:rPr>
          <w:i/>
          <w:sz w:val="24"/>
        </w:rPr>
        <w:t>also Exhibit 2</w:t>
      </w:r>
      <w:r>
        <w:rPr>
          <w:sz w:val="24"/>
        </w:rPr>
        <w:t>, p. 5 ln. 4 – p. 6 ln. 12; p. 8, ln. 16 - p. 9, line 24. </w:t>
      </w:r>
      <w:r>
        <w:rPr>
          <w:i/>
          <w:sz w:val="24"/>
        </w:rPr>
        <w:t>Exhibit </w:t>
      </w:r>
      <w:r>
        <w:rPr>
          <w:i/>
          <w:sz w:val="24"/>
        </w:rPr>
        <w:t>3</w:t>
      </w:r>
      <w:r>
        <w:rPr>
          <w:sz w:val="24"/>
        </w:rPr>
        <w:t>, p. 7, line 19-- p.9, line 14; p. 10 ln. 10 – p. 11 ln. 6. He served no interrogatories, no request for production of documents or request for admissions. He took no depositions, hired no experts and did no investigation. He filed no Rule 26(a)(2) expert report and disclosed no medical records of any kind. He made no inquiry whatsoever into the facts of his case to support any of his claims. Mike Boyce DID NOTHING in this case and is awarded a</w:t>
      </w:r>
      <w:r>
        <w:rPr>
          <w:spacing w:val="-4"/>
          <w:sz w:val="24"/>
        </w:rPr>
        <w:t> </w:t>
      </w:r>
      <w:r>
        <w:rPr>
          <w:sz w:val="24"/>
        </w:rPr>
        <w:t>continuance.</w:t>
      </w:r>
    </w:p>
    <w:p>
      <w:pPr>
        <w:pStyle w:val="ListParagraph"/>
        <w:numPr>
          <w:ilvl w:val="0"/>
          <w:numId w:val="1"/>
        </w:numPr>
        <w:tabs>
          <w:tab w:pos="1470" w:val="left" w:leader="none"/>
        </w:tabs>
        <w:spacing w:line="480" w:lineRule="auto" w:before="0" w:after="0"/>
        <w:ind w:left="120" w:right="107" w:firstLine="720"/>
        <w:jc w:val="both"/>
        <w:rPr>
          <w:sz w:val="24"/>
        </w:rPr>
      </w:pPr>
      <w:r>
        <w:rPr>
          <w:sz w:val="24"/>
        </w:rPr>
        <w:t>As such, because plaintiffs were aware defendant had no evidence to prove his case, plaintiffs sat on their evidence waiting for trial, which saved plaintiffs time, effort and money in both defense and prosecution.  Now, as a direct and proximate result of the court’s protections  and favoritism to Mike Boyce, plaintiffs are prejudiced with having to conduct expert discovery, put</w:t>
      </w:r>
      <w:r>
        <w:rPr>
          <w:spacing w:val="21"/>
          <w:sz w:val="24"/>
        </w:rPr>
        <w:t> </w:t>
      </w:r>
      <w:r>
        <w:rPr>
          <w:sz w:val="24"/>
        </w:rPr>
        <w:t>up</w:t>
      </w:r>
      <w:r>
        <w:rPr>
          <w:spacing w:val="21"/>
          <w:sz w:val="24"/>
        </w:rPr>
        <w:t> </w:t>
      </w:r>
      <w:r>
        <w:rPr>
          <w:sz w:val="24"/>
        </w:rPr>
        <w:t>rebuttal</w:t>
      </w:r>
      <w:r>
        <w:rPr>
          <w:spacing w:val="21"/>
          <w:sz w:val="24"/>
        </w:rPr>
        <w:t> </w:t>
      </w:r>
      <w:r>
        <w:rPr>
          <w:sz w:val="24"/>
        </w:rPr>
        <w:t>expert</w:t>
      </w:r>
      <w:r>
        <w:rPr>
          <w:spacing w:val="22"/>
          <w:sz w:val="24"/>
        </w:rPr>
        <w:t> </w:t>
      </w:r>
      <w:r>
        <w:rPr>
          <w:sz w:val="24"/>
        </w:rPr>
        <w:t>witnesses,</w:t>
      </w:r>
      <w:r>
        <w:rPr>
          <w:spacing w:val="21"/>
          <w:sz w:val="24"/>
        </w:rPr>
        <w:t> </w:t>
      </w:r>
      <w:r>
        <w:rPr>
          <w:sz w:val="24"/>
        </w:rPr>
        <w:t>take</w:t>
      </w:r>
      <w:r>
        <w:rPr>
          <w:spacing w:val="21"/>
          <w:sz w:val="24"/>
        </w:rPr>
        <w:t> </w:t>
      </w:r>
      <w:r>
        <w:rPr>
          <w:sz w:val="24"/>
        </w:rPr>
        <w:t>depositions</w:t>
      </w:r>
      <w:r>
        <w:rPr>
          <w:spacing w:val="22"/>
          <w:sz w:val="24"/>
        </w:rPr>
        <w:t> </w:t>
      </w:r>
      <w:r>
        <w:rPr>
          <w:sz w:val="24"/>
        </w:rPr>
        <w:t>and</w:t>
      </w:r>
      <w:r>
        <w:rPr>
          <w:spacing w:val="21"/>
          <w:sz w:val="24"/>
        </w:rPr>
        <w:t> </w:t>
      </w:r>
      <w:r>
        <w:rPr>
          <w:sz w:val="24"/>
        </w:rPr>
        <w:t>expend</w:t>
      </w:r>
      <w:r>
        <w:rPr>
          <w:spacing w:val="22"/>
          <w:sz w:val="24"/>
        </w:rPr>
        <w:t> </w:t>
      </w:r>
      <w:r>
        <w:rPr>
          <w:sz w:val="24"/>
        </w:rPr>
        <w:t>money</w:t>
      </w:r>
      <w:r>
        <w:rPr>
          <w:spacing w:val="21"/>
          <w:sz w:val="24"/>
        </w:rPr>
        <w:t> </w:t>
      </w:r>
      <w:r>
        <w:rPr>
          <w:sz w:val="24"/>
        </w:rPr>
        <w:t>for</w:t>
      </w:r>
      <w:r>
        <w:rPr>
          <w:spacing w:val="23"/>
          <w:sz w:val="24"/>
        </w:rPr>
        <w:t> </w:t>
      </w:r>
      <w:r>
        <w:rPr>
          <w:sz w:val="24"/>
        </w:rPr>
        <w:t>months,</w:t>
      </w:r>
      <w:r>
        <w:rPr>
          <w:spacing w:val="21"/>
          <w:sz w:val="24"/>
        </w:rPr>
        <w:t> </w:t>
      </w:r>
      <w:r>
        <w:rPr>
          <w:sz w:val="24"/>
        </w:rPr>
        <w:t>in</w:t>
      </w:r>
      <w:r>
        <w:rPr>
          <w:spacing w:val="21"/>
          <w:sz w:val="24"/>
        </w:rPr>
        <w:t> </w:t>
      </w:r>
      <w:r>
        <w:rPr>
          <w:sz w:val="24"/>
        </w:rPr>
        <w:t>preparation</w:t>
      </w:r>
    </w:p>
    <w:p>
      <w:pPr>
        <w:spacing w:after="0" w:line="480" w:lineRule="auto"/>
        <w:jc w:val="both"/>
        <w:rPr>
          <w:sz w:val="24"/>
        </w:rPr>
        <w:sectPr>
          <w:pgSz w:w="12240" w:h="15840"/>
          <w:pgMar w:header="0" w:footer="1065" w:top="1360" w:bottom="1260" w:left="1320" w:right="1240"/>
        </w:sectPr>
      </w:pPr>
    </w:p>
    <w:p>
      <w:pPr>
        <w:pStyle w:val="BodyText"/>
        <w:spacing w:line="480" w:lineRule="auto" w:before="76"/>
        <w:ind w:left="119" w:right="106"/>
        <w:jc w:val="both"/>
      </w:pPr>
      <w:r>
        <w:rPr/>
        <w:t>for trial, all because of Mike Boyce’s negligence in the practice of law. These expenses are the prejudice to plaintiffs. Further, Mr. Boyce sued Abrams individually for theft. Because he did no investigation and conducted no discovery, he has not one shred of evidence in support of this claim. Had he conducted discovery he would have learned the defendant’s disputed sum is sitting in a COLTAF account for 3 years. Accordingly, Mike Boyce prosecuted a case, in patent violation of Rule 11, before this court to no</w:t>
      </w:r>
      <w:r>
        <w:rPr>
          <w:spacing w:val="-2"/>
        </w:rPr>
        <w:t> </w:t>
      </w:r>
      <w:r>
        <w:rPr/>
        <w:t>consequence.</w:t>
      </w:r>
    </w:p>
    <w:p>
      <w:pPr>
        <w:pStyle w:val="ListParagraph"/>
        <w:numPr>
          <w:ilvl w:val="0"/>
          <w:numId w:val="1"/>
        </w:numPr>
        <w:tabs>
          <w:tab w:pos="1470" w:val="left" w:leader="none"/>
        </w:tabs>
        <w:spacing w:line="480" w:lineRule="auto" w:before="1" w:after="0"/>
        <w:ind w:left="120" w:right="106" w:firstLine="720"/>
        <w:jc w:val="both"/>
        <w:rPr>
          <w:sz w:val="24"/>
        </w:rPr>
      </w:pPr>
      <w:r>
        <w:rPr>
          <w:sz w:val="24"/>
        </w:rPr>
        <w:t>The parties filed a joint Case Management Order, on March 29, 2016, the “at issue date” of this case is September 22, 2015. </w:t>
      </w:r>
      <w:r>
        <w:rPr>
          <w:i/>
          <w:sz w:val="24"/>
        </w:rPr>
        <w:t>CMO at ICCES trans # 33E665153B688. </w:t>
      </w:r>
      <w:r>
        <w:rPr>
          <w:sz w:val="24"/>
        </w:rPr>
        <w:t>In the CMO the parties stipulated discovery closed on March 14, 2015. The CMO discussed expert witnesses and discovery at length, ¶ 9 and defendant’s medical injuries, ¶ 5(e). So, Mike Boyce has no excuse for his failure to practice law as he knew and pled all of his issues. Furthermore, as stated in</w:t>
      </w:r>
      <w:r>
        <w:rPr>
          <w:spacing w:val="28"/>
          <w:sz w:val="24"/>
        </w:rPr>
        <w:t> </w:t>
      </w:r>
      <w:r>
        <w:rPr>
          <w:sz w:val="24"/>
        </w:rPr>
        <w:t>the</w:t>
      </w:r>
      <w:r>
        <w:rPr>
          <w:spacing w:val="29"/>
          <w:sz w:val="24"/>
        </w:rPr>
        <w:t> </w:t>
      </w:r>
      <w:r>
        <w:rPr>
          <w:sz w:val="24"/>
        </w:rPr>
        <w:t>CMO,</w:t>
      </w:r>
      <w:r>
        <w:rPr>
          <w:spacing w:val="29"/>
          <w:sz w:val="24"/>
        </w:rPr>
        <w:t> </w:t>
      </w:r>
      <w:r>
        <w:rPr>
          <w:sz w:val="24"/>
        </w:rPr>
        <w:t>“the</w:t>
      </w:r>
      <w:r>
        <w:rPr>
          <w:spacing w:val="29"/>
          <w:sz w:val="24"/>
        </w:rPr>
        <w:t> </w:t>
      </w:r>
      <w:r>
        <w:rPr>
          <w:sz w:val="24"/>
        </w:rPr>
        <w:t>Parties</w:t>
      </w:r>
      <w:r>
        <w:rPr>
          <w:spacing w:val="29"/>
          <w:sz w:val="24"/>
        </w:rPr>
        <w:t> </w:t>
      </w:r>
      <w:r>
        <w:rPr>
          <w:sz w:val="24"/>
          <w:u w:val="single"/>
        </w:rPr>
        <w:t>stand</w:t>
      </w:r>
      <w:r>
        <w:rPr>
          <w:spacing w:val="29"/>
          <w:sz w:val="24"/>
          <w:u w:val="single"/>
        </w:rPr>
        <w:t> </w:t>
      </w:r>
      <w:r>
        <w:rPr>
          <w:sz w:val="24"/>
          <w:u w:val="single"/>
        </w:rPr>
        <w:t>on</w:t>
      </w:r>
      <w:r>
        <w:rPr>
          <w:spacing w:val="27"/>
          <w:sz w:val="24"/>
          <w:u w:val="single"/>
        </w:rPr>
        <w:t> </w:t>
      </w:r>
      <w:r>
        <w:rPr>
          <w:sz w:val="24"/>
          <w:u w:val="single"/>
        </w:rPr>
        <w:t>their</w:t>
      </w:r>
      <w:r>
        <w:rPr>
          <w:spacing w:val="29"/>
          <w:sz w:val="24"/>
          <w:u w:val="single"/>
        </w:rPr>
        <w:t> </w:t>
      </w:r>
      <w:r>
        <w:rPr>
          <w:sz w:val="24"/>
          <w:u w:val="single"/>
        </w:rPr>
        <w:t>pleadings</w:t>
      </w:r>
      <w:r>
        <w:rPr>
          <w:spacing w:val="29"/>
          <w:sz w:val="24"/>
        </w:rPr>
        <w:t> </w:t>
      </w:r>
      <w:r>
        <w:rPr>
          <w:sz w:val="24"/>
        </w:rPr>
        <w:t>as</w:t>
      </w:r>
      <w:r>
        <w:rPr>
          <w:spacing w:val="29"/>
          <w:sz w:val="24"/>
        </w:rPr>
        <w:t> </w:t>
      </w:r>
      <w:r>
        <w:rPr>
          <w:sz w:val="24"/>
        </w:rPr>
        <w:t>the</w:t>
      </w:r>
      <w:r>
        <w:rPr>
          <w:spacing w:val="28"/>
          <w:sz w:val="24"/>
        </w:rPr>
        <w:t> </w:t>
      </w:r>
      <w:r>
        <w:rPr>
          <w:sz w:val="24"/>
        </w:rPr>
        <w:t>issues</w:t>
      </w:r>
      <w:r>
        <w:rPr>
          <w:spacing w:val="29"/>
          <w:sz w:val="24"/>
        </w:rPr>
        <w:t> </w:t>
      </w:r>
      <w:r>
        <w:rPr>
          <w:sz w:val="24"/>
        </w:rPr>
        <w:t>to</w:t>
      </w:r>
      <w:r>
        <w:rPr>
          <w:spacing w:val="29"/>
          <w:sz w:val="24"/>
        </w:rPr>
        <w:t> </w:t>
      </w:r>
      <w:r>
        <w:rPr>
          <w:sz w:val="24"/>
        </w:rPr>
        <w:t>be</w:t>
      </w:r>
      <w:r>
        <w:rPr>
          <w:spacing w:val="28"/>
          <w:sz w:val="24"/>
        </w:rPr>
        <w:t> </w:t>
      </w:r>
      <w:r>
        <w:rPr>
          <w:sz w:val="24"/>
        </w:rPr>
        <w:t>tried</w:t>
      </w:r>
      <w:r>
        <w:rPr>
          <w:spacing w:val="27"/>
          <w:sz w:val="24"/>
        </w:rPr>
        <w:t> </w:t>
      </w:r>
      <w:r>
        <w:rPr>
          <w:sz w:val="24"/>
        </w:rPr>
        <w:t>in</w:t>
      </w:r>
      <w:r>
        <w:rPr>
          <w:spacing w:val="29"/>
          <w:sz w:val="24"/>
        </w:rPr>
        <w:t> </w:t>
      </w:r>
      <w:r>
        <w:rPr>
          <w:sz w:val="24"/>
        </w:rPr>
        <w:t>this</w:t>
      </w:r>
      <w:r>
        <w:rPr>
          <w:spacing w:val="27"/>
          <w:sz w:val="24"/>
        </w:rPr>
        <w:t> </w:t>
      </w:r>
      <w:r>
        <w:rPr>
          <w:sz w:val="24"/>
        </w:rPr>
        <w:t>matter.”</w:t>
      </w:r>
      <w:r>
        <w:rPr>
          <w:spacing w:val="29"/>
          <w:sz w:val="24"/>
        </w:rPr>
        <w:t> </w:t>
      </w:r>
      <w:r>
        <w:rPr>
          <w:sz w:val="24"/>
        </w:rPr>
        <w:t>Mr.</w:t>
      </w:r>
    </w:p>
    <w:p>
      <w:pPr>
        <w:pStyle w:val="BodyText"/>
        <w:spacing w:line="480" w:lineRule="auto"/>
        <w:ind w:right="107"/>
        <w:jc w:val="both"/>
      </w:pPr>
      <w:r>
        <w:rPr/>
        <w:t>Boyce states in the CMO, he participated in creating it and signed it. To now say he wants a continuance based on his negligent practice of law, is preposterous. If the court goes along with this, based on this new precedence, no lawyer has to practice law, they can sit and do nothing then ask for a “do over” on the eleventh hour if the case never settled.</w:t>
      </w:r>
    </w:p>
    <w:p>
      <w:pPr>
        <w:pStyle w:val="ListParagraph"/>
        <w:numPr>
          <w:ilvl w:val="0"/>
          <w:numId w:val="1"/>
        </w:numPr>
        <w:tabs>
          <w:tab w:pos="1470" w:val="left" w:leader="none"/>
        </w:tabs>
        <w:spacing w:line="480" w:lineRule="auto" w:before="0" w:after="0"/>
        <w:ind w:left="120" w:right="107" w:firstLine="720"/>
        <w:jc w:val="both"/>
        <w:rPr>
          <w:sz w:val="24"/>
        </w:rPr>
      </w:pPr>
      <w:r>
        <w:rPr>
          <w:sz w:val="24"/>
        </w:rPr>
        <w:t>Finally, Mr. Boyce and his client may very well have provided no expert testimony as to current or future damages simply as a cost saving strategy, knowing full-well how expensive discovery and medical expert testimony in civil litigation can be. But, to now prejudice plaintiffs who conducted no discovery for this very reason, to now be forced to do so, is prejudicial as the matter was set for trail to proceed the next day on both parties’ evidence. Now plaintiffs must spend excessive money based on Mike Boyce actions or</w:t>
      </w:r>
      <w:r>
        <w:rPr>
          <w:spacing w:val="-2"/>
          <w:sz w:val="24"/>
        </w:rPr>
        <w:t> </w:t>
      </w:r>
      <w:r>
        <w:rPr>
          <w:sz w:val="24"/>
        </w:rPr>
        <w:t>negligence.</w:t>
      </w:r>
    </w:p>
    <w:p>
      <w:pPr>
        <w:spacing w:after="0" w:line="480" w:lineRule="auto"/>
        <w:jc w:val="both"/>
        <w:rPr>
          <w:sz w:val="24"/>
        </w:rPr>
        <w:sectPr>
          <w:pgSz w:w="12240" w:h="15840"/>
          <w:pgMar w:header="0" w:footer="1065" w:top="1360" w:bottom="1260" w:left="1320" w:right="1240"/>
        </w:sectPr>
      </w:pPr>
    </w:p>
    <w:p>
      <w:pPr>
        <w:pStyle w:val="BodyText"/>
        <w:ind w:left="0"/>
        <w:rPr>
          <w:sz w:val="20"/>
        </w:rPr>
      </w:pPr>
    </w:p>
    <w:p>
      <w:pPr>
        <w:pStyle w:val="BodyText"/>
        <w:spacing w:before="8"/>
        <w:ind w:left="0"/>
        <w:rPr>
          <w:sz w:val="22"/>
        </w:rPr>
      </w:pPr>
    </w:p>
    <w:p>
      <w:pPr>
        <w:pStyle w:val="Heading1"/>
        <w:rPr>
          <w:u w:val="none"/>
        </w:rPr>
      </w:pPr>
      <w:r>
        <w:rPr>
          <w:u w:val="thick"/>
        </w:rPr>
        <w:t>LEGAL AUTHORITY</w:t>
      </w:r>
    </w:p>
    <w:p>
      <w:pPr>
        <w:pStyle w:val="BodyText"/>
        <w:ind w:left="0"/>
        <w:rPr>
          <w:b/>
          <w:sz w:val="16"/>
        </w:rPr>
      </w:pPr>
    </w:p>
    <w:p>
      <w:pPr>
        <w:pStyle w:val="ListParagraph"/>
        <w:numPr>
          <w:ilvl w:val="0"/>
          <w:numId w:val="1"/>
        </w:numPr>
        <w:tabs>
          <w:tab w:pos="1469" w:val="left" w:leader="none"/>
          <w:tab w:pos="1470" w:val="left" w:leader="none"/>
        </w:tabs>
        <w:spacing w:line="480" w:lineRule="auto" w:before="90" w:after="0"/>
        <w:ind w:left="120" w:right="305" w:firstLine="720"/>
        <w:jc w:val="left"/>
        <w:rPr>
          <w:sz w:val="24"/>
        </w:rPr>
      </w:pPr>
      <w:r>
        <w:rPr>
          <w:sz w:val="24"/>
        </w:rPr>
        <w:t>Rule 60. Relief from Judgment or Order. (b) Mistakes; Inadvertence; Surprise; Excusable Neglect; Fraud; etc. On motion and upon such terms as are just, the court may relieve a party or his legal representative from a final judgment, order, or proceeding for the following reasons:</w:t>
      </w:r>
    </w:p>
    <w:p>
      <w:pPr>
        <w:pStyle w:val="BodyText"/>
        <w:tabs>
          <w:tab w:pos="1559" w:val="left" w:leader="none"/>
        </w:tabs>
        <w:spacing w:line="480" w:lineRule="auto"/>
        <w:ind w:left="839" w:right="941"/>
      </w:pPr>
      <w:r>
        <w:rPr/>
        <w:t>(1)</w:t>
        <w:tab/>
        <w:t>Mistake, inadvertence, surprise, or excusable neglect. Relief from the operation of a judgment alleged to have resulted from mistake must be pursued by motion, to be made within a "reasonable time." </w:t>
      </w:r>
      <w:r>
        <w:rPr>
          <w:i/>
        </w:rPr>
        <w:t>Peercy v. Peercy</w:t>
      </w:r>
      <w:r>
        <w:rPr/>
        <w:t>, 154 Colo. 575, 392 P.2d 609 (1964). The Court grants Mr. Boyce’s continuance as if it were an inadvertent surprise or mistake that Boyce failed to practice law. This is not a valid basis for a continuance as defined below in </w:t>
      </w:r>
      <w:r>
        <w:rPr>
          <w:i/>
        </w:rPr>
        <w:t>Todd v. Bear Valley Village </w:t>
      </w:r>
      <w:r>
        <w:rPr>
          <w:i/>
        </w:rPr>
        <w:t>Apartments</w:t>
      </w:r>
      <w:r>
        <w:rPr/>
        <w:t>, 980 P.2d 973</w:t>
      </w:r>
      <w:r>
        <w:rPr>
          <w:spacing w:val="-3"/>
        </w:rPr>
        <w:t> </w:t>
      </w:r>
      <w:r>
        <w:rPr/>
        <w:t>(1999).</w:t>
      </w:r>
    </w:p>
    <w:p>
      <w:pPr>
        <w:pStyle w:val="ListParagraph"/>
        <w:numPr>
          <w:ilvl w:val="0"/>
          <w:numId w:val="1"/>
        </w:numPr>
        <w:tabs>
          <w:tab w:pos="1470" w:val="left" w:leader="none"/>
        </w:tabs>
        <w:spacing w:line="480" w:lineRule="auto" w:before="0" w:after="0"/>
        <w:ind w:left="120" w:right="196" w:firstLine="720"/>
        <w:jc w:val="both"/>
        <w:rPr>
          <w:sz w:val="24"/>
        </w:rPr>
      </w:pPr>
      <w:r>
        <w:rPr>
          <w:sz w:val="24"/>
        </w:rPr>
        <w:t>Pursuant to Rule 60(b) the court may reconsider its orders for mistake. Plaintiff requests the court reconsider its order because by law, the court’s reliance on </w:t>
      </w:r>
      <w:r>
        <w:rPr>
          <w:i/>
          <w:sz w:val="24"/>
        </w:rPr>
        <w:t>Todd v. Bear </w:t>
      </w:r>
      <w:r>
        <w:rPr>
          <w:i/>
          <w:sz w:val="24"/>
        </w:rPr>
        <w:t>Valley </w:t>
      </w:r>
      <w:r>
        <w:rPr>
          <w:sz w:val="24"/>
        </w:rPr>
        <w:t>is misplaced. </w:t>
      </w:r>
      <w:r>
        <w:rPr>
          <w:i/>
          <w:sz w:val="24"/>
        </w:rPr>
        <w:t>Todd, </w:t>
      </w:r>
      <w:r>
        <w:rPr>
          <w:sz w:val="24"/>
        </w:rPr>
        <w:t>outlines specific criteria for the court’s discretion to continue trial. Ineffective assistance of counsel (Boyce’s hidden Rule 35(c) argument) is not a basis in civil court to grant a trial continuance because a separate and clear adequate remedy at law exists for defendant in the form of a claim against Mike Boyce for legal</w:t>
      </w:r>
      <w:r>
        <w:rPr>
          <w:spacing w:val="-9"/>
          <w:sz w:val="24"/>
        </w:rPr>
        <w:t> </w:t>
      </w:r>
      <w:r>
        <w:rPr>
          <w:sz w:val="24"/>
        </w:rPr>
        <w:t>malpractice.</w:t>
      </w:r>
    </w:p>
    <w:p>
      <w:pPr>
        <w:pStyle w:val="Heading1"/>
        <w:spacing w:before="2"/>
        <w:ind w:left="2868"/>
        <w:rPr>
          <w:u w:val="none"/>
        </w:rPr>
      </w:pPr>
      <w:r>
        <w:rPr>
          <w:u w:val="thick"/>
        </w:rPr>
        <w:t>ARGUMENT</w:t>
      </w:r>
    </w:p>
    <w:p>
      <w:pPr>
        <w:pStyle w:val="BodyText"/>
        <w:spacing w:before="11"/>
        <w:ind w:left="0"/>
        <w:rPr>
          <w:b/>
          <w:sz w:val="15"/>
        </w:rPr>
      </w:pPr>
    </w:p>
    <w:p>
      <w:pPr>
        <w:pStyle w:val="ListParagraph"/>
        <w:numPr>
          <w:ilvl w:val="0"/>
          <w:numId w:val="1"/>
        </w:numPr>
        <w:tabs>
          <w:tab w:pos="1470" w:val="left" w:leader="none"/>
        </w:tabs>
        <w:spacing w:line="480" w:lineRule="auto" w:before="90" w:after="0"/>
        <w:ind w:left="120" w:right="106" w:firstLine="720"/>
        <w:jc w:val="both"/>
        <w:rPr>
          <w:sz w:val="24"/>
        </w:rPr>
      </w:pPr>
      <w:r>
        <w:rPr>
          <w:sz w:val="24"/>
        </w:rPr>
        <w:t>The Court erred in granting a continuance on Mr. Boyce’s admission of ineffective assistance of counsel (“IAC”). </w:t>
      </w:r>
      <w:r>
        <w:rPr>
          <w:i/>
          <w:sz w:val="24"/>
        </w:rPr>
        <w:t>Exhibit 2, </w:t>
      </w:r>
      <w:r>
        <w:rPr>
          <w:sz w:val="24"/>
        </w:rPr>
        <w:t>p. 13 ln. 15 – ln. 17. </w:t>
      </w:r>
      <w:r>
        <w:rPr>
          <w:i/>
          <w:sz w:val="24"/>
        </w:rPr>
        <w:t>Exhibit 3, </w:t>
      </w:r>
      <w:r>
        <w:rPr>
          <w:sz w:val="24"/>
        </w:rPr>
        <w:t>p. 3, ln 20 – p. 4 ln. 4.</w:t>
      </w:r>
      <w:r>
        <w:rPr>
          <w:color w:val="1B1B1B"/>
          <w:sz w:val="24"/>
        </w:rPr>
        <w:t> The</w:t>
      </w:r>
      <w:r>
        <w:rPr>
          <w:color w:val="1B1B1B"/>
          <w:spacing w:val="5"/>
          <w:sz w:val="24"/>
        </w:rPr>
        <w:t> </w:t>
      </w:r>
      <w:r>
        <w:rPr>
          <w:color w:val="1B1B1B"/>
          <w:sz w:val="24"/>
        </w:rPr>
        <w:t>general</w:t>
      </w:r>
      <w:r>
        <w:rPr>
          <w:color w:val="1B1B1B"/>
          <w:spacing w:val="4"/>
          <w:sz w:val="24"/>
        </w:rPr>
        <w:t> </w:t>
      </w:r>
      <w:r>
        <w:rPr>
          <w:color w:val="1B1B1B"/>
          <w:sz w:val="24"/>
        </w:rPr>
        <w:t>rule</w:t>
      </w:r>
      <w:r>
        <w:rPr>
          <w:color w:val="1B1B1B"/>
          <w:spacing w:val="4"/>
          <w:sz w:val="24"/>
        </w:rPr>
        <w:t> </w:t>
      </w:r>
      <w:r>
        <w:rPr>
          <w:color w:val="1B1B1B"/>
          <w:sz w:val="24"/>
        </w:rPr>
        <w:t>in</w:t>
      </w:r>
      <w:r>
        <w:rPr>
          <w:color w:val="1B1B1B"/>
          <w:spacing w:val="6"/>
          <w:sz w:val="24"/>
        </w:rPr>
        <w:t> </w:t>
      </w:r>
      <w:r>
        <w:rPr>
          <w:color w:val="1B1B1B"/>
          <w:sz w:val="24"/>
        </w:rPr>
        <w:t>civil</w:t>
      </w:r>
      <w:r>
        <w:rPr>
          <w:color w:val="1B1B1B"/>
          <w:spacing w:val="4"/>
          <w:sz w:val="24"/>
        </w:rPr>
        <w:t> </w:t>
      </w:r>
      <w:r>
        <w:rPr>
          <w:color w:val="1B1B1B"/>
          <w:sz w:val="24"/>
        </w:rPr>
        <w:t>cases</w:t>
      </w:r>
      <w:r>
        <w:rPr>
          <w:color w:val="1B1B1B"/>
          <w:spacing w:val="4"/>
          <w:sz w:val="24"/>
        </w:rPr>
        <w:t> </w:t>
      </w:r>
      <w:r>
        <w:rPr>
          <w:color w:val="1B1B1B"/>
          <w:sz w:val="24"/>
        </w:rPr>
        <w:t>is</w:t>
      </w:r>
      <w:r>
        <w:rPr>
          <w:color w:val="1B1B1B"/>
          <w:spacing w:val="5"/>
          <w:sz w:val="24"/>
        </w:rPr>
        <w:t> </w:t>
      </w:r>
      <w:r>
        <w:rPr>
          <w:color w:val="1B1B1B"/>
          <w:sz w:val="24"/>
        </w:rPr>
        <w:t>that</w:t>
      </w:r>
      <w:r>
        <w:rPr>
          <w:color w:val="1B1B1B"/>
          <w:spacing w:val="5"/>
          <w:sz w:val="24"/>
        </w:rPr>
        <w:t> </w:t>
      </w:r>
      <w:r>
        <w:rPr>
          <w:color w:val="1B1B1B"/>
          <w:sz w:val="24"/>
        </w:rPr>
        <w:t>the</w:t>
      </w:r>
      <w:r>
        <w:rPr>
          <w:color w:val="1B1B1B"/>
          <w:spacing w:val="5"/>
          <w:sz w:val="24"/>
        </w:rPr>
        <w:t> </w:t>
      </w:r>
      <w:r>
        <w:rPr>
          <w:color w:val="1B1B1B"/>
          <w:sz w:val="24"/>
        </w:rPr>
        <w:t>ineffective</w:t>
      </w:r>
      <w:r>
        <w:rPr>
          <w:color w:val="1B1B1B"/>
          <w:spacing w:val="5"/>
          <w:sz w:val="24"/>
        </w:rPr>
        <w:t> </w:t>
      </w:r>
      <w:r>
        <w:rPr>
          <w:color w:val="1B1B1B"/>
          <w:sz w:val="24"/>
        </w:rPr>
        <w:t>assistance</w:t>
      </w:r>
      <w:r>
        <w:rPr>
          <w:color w:val="1B1B1B"/>
          <w:spacing w:val="5"/>
          <w:sz w:val="24"/>
        </w:rPr>
        <w:t> </w:t>
      </w:r>
      <w:r>
        <w:rPr>
          <w:color w:val="1B1B1B"/>
          <w:sz w:val="24"/>
        </w:rPr>
        <w:t>of</w:t>
      </w:r>
      <w:r>
        <w:rPr>
          <w:color w:val="1B1B1B"/>
          <w:spacing w:val="5"/>
          <w:sz w:val="24"/>
        </w:rPr>
        <w:t> </w:t>
      </w:r>
      <w:r>
        <w:rPr>
          <w:color w:val="1B1B1B"/>
          <w:sz w:val="24"/>
        </w:rPr>
        <w:t>counsel</w:t>
      </w:r>
      <w:r>
        <w:rPr>
          <w:color w:val="1B1B1B"/>
          <w:spacing w:val="4"/>
          <w:sz w:val="24"/>
        </w:rPr>
        <w:t> </w:t>
      </w:r>
      <w:r>
        <w:rPr>
          <w:color w:val="1B1B1B"/>
          <w:sz w:val="24"/>
        </w:rPr>
        <w:t>is</w:t>
      </w:r>
      <w:r>
        <w:rPr>
          <w:color w:val="1B1B1B"/>
          <w:spacing w:val="5"/>
          <w:sz w:val="24"/>
        </w:rPr>
        <w:t> </w:t>
      </w:r>
      <w:r>
        <w:rPr>
          <w:color w:val="1B1B1B"/>
          <w:sz w:val="24"/>
        </w:rPr>
        <w:t>not</w:t>
      </w:r>
      <w:r>
        <w:rPr>
          <w:color w:val="1B1B1B"/>
          <w:spacing w:val="6"/>
          <w:sz w:val="24"/>
        </w:rPr>
        <w:t> </w:t>
      </w:r>
      <w:r>
        <w:rPr>
          <w:color w:val="1B1B1B"/>
          <w:sz w:val="24"/>
        </w:rPr>
        <w:t>a</w:t>
      </w:r>
      <w:r>
        <w:rPr>
          <w:color w:val="1B1B1B"/>
          <w:spacing w:val="4"/>
          <w:sz w:val="24"/>
        </w:rPr>
        <w:t> </w:t>
      </w:r>
      <w:r>
        <w:rPr>
          <w:color w:val="1B1B1B"/>
          <w:sz w:val="24"/>
        </w:rPr>
        <w:t>basis</w:t>
      </w:r>
      <w:r>
        <w:rPr>
          <w:color w:val="1B1B1B"/>
          <w:spacing w:val="5"/>
          <w:sz w:val="24"/>
        </w:rPr>
        <w:t> </w:t>
      </w:r>
      <w:r>
        <w:rPr>
          <w:color w:val="1B1B1B"/>
          <w:sz w:val="24"/>
        </w:rPr>
        <w:t>for</w:t>
      </w:r>
      <w:r>
        <w:rPr>
          <w:color w:val="1B1B1B"/>
          <w:spacing w:val="5"/>
          <w:sz w:val="24"/>
        </w:rPr>
        <w:t> </w:t>
      </w:r>
      <w:r>
        <w:rPr>
          <w:color w:val="1B1B1B"/>
          <w:sz w:val="24"/>
        </w:rPr>
        <w:t>appeal</w:t>
      </w:r>
    </w:p>
    <w:p>
      <w:pPr>
        <w:spacing w:after="0" w:line="480" w:lineRule="auto"/>
        <w:jc w:val="both"/>
        <w:rPr>
          <w:sz w:val="24"/>
        </w:rPr>
        <w:sectPr>
          <w:pgSz w:w="12240" w:h="15840"/>
          <w:pgMar w:header="0" w:footer="1065" w:top="1500" w:bottom="1260" w:left="1320" w:right="1240"/>
        </w:sectPr>
      </w:pPr>
    </w:p>
    <w:p>
      <w:pPr>
        <w:pStyle w:val="BodyText"/>
        <w:spacing w:line="480" w:lineRule="auto" w:before="76"/>
        <w:ind w:right="107"/>
        <w:jc w:val="both"/>
      </w:pPr>
      <w:r>
        <w:rPr>
          <w:color w:val="1B1B1B"/>
        </w:rPr>
        <w:t>or retrial. If a client's chosen counsel performs below professionally acceptable standards, with adverse effects on the client's case, the client's remedy is not reversal, but rather a legal malpractice lawsuit against the deficient attorney. </w:t>
      </w:r>
      <w:r>
        <w:rPr>
          <w:i/>
        </w:rPr>
        <w:t>Nelson v. Boeing Co.</w:t>
      </w:r>
      <w:r>
        <w:rPr/>
        <w:t>, 446 F.3d 1118 (10th Cir. 2006). A </w:t>
      </w:r>
      <w:r>
        <w:rPr>
          <w:color w:val="1B1B1B"/>
        </w:rPr>
        <w:t>claim for ineffective assistance of counsel </w:t>
      </w:r>
      <w:r>
        <w:rPr>
          <w:color w:val="1B1B1B"/>
          <w:u w:val="single" w:color="1B1B1B"/>
        </w:rPr>
        <w:t>generally does not apply in civil actions</w:t>
      </w:r>
      <w:r>
        <w:rPr>
          <w:color w:val="1B1B1B"/>
        </w:rPr>
        <w:t>, and</w:t>
      </w:r>
    </w:p>
    <w:p>
      <w:pPr>
        <w:pStyle w:val="BodyText"/>
        <w:spacing w:line="480" w:lineRule="auto" w:before="1"/>
        <w:ind w:left="119" w:right="106"/>
        <w:jc w:val="both"/>
      </w:pPr>
      <w:r>
        <w:rPr>
          <w:color w:val="1B1B1B"/>
        </w:rPr>
        <w:t>plaintiff's only arguable recourse would be a claim for legal malpractice against his former counsel. </w:t>
      </w:r>
      <w:r>
        <w:rPr>
          <w:i/>
        </w:rPr>
        <w:t>Smith v. SDI Industries, Inc.</w:t>
      </w:r>
      <w:r>
        <w:rPr/>
        <w:t>, 260 Fed.Appx. 93 (10th Cir. 2008) citing to </w:t>
      </w:r>
      <w:r>
        <w:rPr>
          <w:i/>
        </w:rPr>
        <w:t>Nelson. </w:t>
      </w:r>
      <w:r>
        <w:rPr/>
        <w:t>IAC is post trial relief in a criminal proceeding under Crim. P. 35(c) because there is no adequate remedy at law since the defendant is convicted and in jail. Here, there is an adequate remedy at law in the form of a malpractice lawsuit by defendant against his lawyer Mike Boyce for failing to follow the rules of civil procedure. IAC is not a basis for a continuance as it is post trial relief in a criminal matter C.R.S. § 18-1-147, upon which a conviction was based. Accordingly, the court should not continue trial and reopen discovery upon this basis. Further, the court precisely stated it continued the trial based on concern of reversal on appeal. </w:t>
      </w:r>
      <w:r>
        <w:rPr>
          <w:i/>
        </w:rPr>
        <w:t>Exhibit 2</w:t>
      </w:r>
      <w:r>
        <w:rPr/>
        <w:t>, p.7 ln.24 – p.8 ln. 4; p. 8 ln. 14 – ln. 18. However, </w:t>
      </w:r>
      <w:r>
        <w:rPr>
          <w:i/>
        </w:rPr>
        <w:t>Nelson </w:t>
      </w:r>
      <w:r>
        <w:rPr/>
        <w:t>makes clear IAC is not a basis for appeal or retrial, so the court erred in its</w:t>
      </w:r>
      <w:r>
        <w:rPr>
          <w:spacing w:val="-3"/>
        </w:rPr>
        <w:t> </w:t>
      </w:r>
      <w:r>
        <w:rPr/>
        <w:t>ruling.</w:t>
      </w:r>
    </w:p>
    <w:p>
      <w:pPr>
        <w:pStyle w:val="ListParagraph"/>
        <w:numPr>
          <w:ilvl w:val="0"/>
          <w:numId w:val="1"/>
        </w:numPr>
        <w:tabs>
          <w:tab w:pos="1469" w:val="left" w:leader="none"/>
          <w:tab w:pos="1470" w:val="left" w:leader="none"/>
        </w:tabs>
        <w:spacing w:line="275" w:lineRule="exact" w:before="0" w:after="0"/>
        <w:ind w:left="1470" w:right="0" w:hanging="630"/>
        <w:jc w:val="left"/>
        <w:rPr>
          <w:sz w:val="24"/>
        </w:rPr>
      </w:pPr>
      <w:r>
        <w:rPr>
          <w:sz w:val="24"/>
        </w:rPr>
        <w:t>The</w:t>
      </w:r>
      <w:r>
        <w:rPr>
          <w:spacing w:val="18"/>
          <w:sz w:val="24"/>
        </w:rPr>
        <w:t> </w:t>
      </w:r>
      <w:r>
        <w:rPr>
          <w:sz w:val="24"/>
        </w:rPr>
        <w:t>United</w:t>
      </w:r>
      <w:r>
        <w:rPr>
          <w:spacing w:val="17"/>
          <w:sz w:val="24"/>
        </w:rPr>
        <w:t> </w:t>
      </w:r>
      <w:r>
        <w:rPr>
          <w:sz w:val="24"/>
        </w:rPr>
        <w:t>States</w:t>
      </w:r>
      <w:r>
        <w:rPr>
          <w:spacing w:val="18"/>
          <w:sz w:val="24"/>
        </w:rPr>
        <w:t> </w:t>
      </w:r>
      <w:r>
        <w:rPr>
          <w:sz w:val="24"/>
        </w:rPr>
        <w:t>and</w:t>
      </w:r>
      <w:r>
        <w:rPr>
          <w:spacing w:val="18"/>
          <w:sz w:val="24"/>
        </w:rPr>
        <w:t> </w:t>
      </w:r>
      <w:r>
        <w:rPr>
          <w:sz w:val="24"/>
        </w:rPr>
        <w:t>Colorado</w:t>
      </w:r>
      <w:r>
        <w:rPr>
          <w:spacing w:val="19"/>
          <w:sz w:val="24"/>
        </w:rPr>
        <w:t> </w:t>
      </w:r>
      <w:r>
        <w:rPr>
          <w:sz w:val="24"/>
        </w:rPr>
        <w:t>Constitutions</w:t>
      </w:r>
      <w:r>
        <w:rPr>
          <w:spacing w:val="18"/>
          <w:sz w:val="24"/>
        </w:rPr>
        <w:t> </w:t>
      </w:r>
      <w:r>
        <w:rPr>
          <w:sz w:val="24"/>
        </w:rPr>
        <w:t>guarantee</w:t>
      </w:r>
      <w:r>
        <w:rPr>
          <w:spacing w:val="18"/>
          <w:sz w:val="24"/>
        </w:rPr>
        <w:t> </w:t>
      </w:r>
      <w:r>
        <w:rPr>
          <w:sz w:val="24"/>
          <w:u w:val="single"/>
        </w:rPr>
        <w:t>an</w:t>
      </w:r>
      <w:r>
        <w:rPr>
          <w:spacing w:val="19"/>
          <w:sz w:val="24"/>
          <w:u w:val="single"/>
        </w:rPr>
        <w:t> </w:t>
      </w:r>
      <w:r>
        <w:rPr>
          <w:sz w:val="24"/>
          <w:u w:val="single"/>
        </w:rPr>
        <w:t>accused</w:t>
      </w:r>
      <w:r>
        <w:rPr>
          <w:spacing w:val="19"/>
          <w:sz w:val="24"/>
          <w:u w:val="single"/>
        </w:rPr>
        <w:t> </w:t>
      </w:r>
      <w:r>
        <w:rPr>
          <w:sz w:val="24"/>
          <w:u w:val="single"/>
        </w:rPr>
        <w:t>in</w:t>
      </w:r>
      <w:r>
        <w:rPr>
          <w:spacing w:val="17"/>
          <w:sz w:val="24"/>
          <w:u w:val="single"/>
        </w:rPr>
        <w:t> </w:t>
      </w:r>
      <w:r>
        <w:rPr>
          <w:sz w:val="24"/>
          <w:u w:val="single"/>
        </w:rPr>
        <w:t>a</w:t>
      </w:r>
      <w:r>
        <w:rPr>
          <w:spacing w:val="19"/>
          <w:sz w:val="24"/>
          <w:u w:val="single"/>
        </w:rPr>
        <w:t> </w:t>
      </w:r>
      <w:r>
        <w:rPr>
          <w:sz w:val="24"/>
          <w:u w:val="single"/>
        </w:rPr>
        <w:t>criminal</w:t>
      </w:r>
    </w:p>
    <w:p>
      <w:pPr>
        <w:pStyle w:val="BodyText"/>
        <w:spacing w:before="2"/>
        <w:ind w:left="0"/>
        <w:rPr>
          <w:sz w:val="16"/>
        </w:rPr>
      </w:pPr>
    </w:p>
    <w:p>
      <w:pPr>
        <w:pStyle w:val="BodyText"/>
        <w:spacing w:before="90"/>
      </w:pPr>
      <w:r>
        <w:rPr>
          <w:u w:val="single"/>
        </w:rPr>
        <w:t>prosecution</w:t>
      </w:r>
      <w:r>
        <w:rPr>
          <w:spacing w:val="7"/>
          <w:u w:val="single"/>
        </w:rPr>
        <w:t> </w:t>
      </w:r>
      <w:r>
        <w:rPr>
          <w:u w:val="single"/>
        </w:rPr>
        <w:t>the</w:t>
      </w:r>
      <w:r>
        <w:rPr>
          <w:spacing w:val="10"/>
          <w:u w:val="single"/>
        </w:rPr>
        <w:t> </w:t>
      </w:r>
      <w:r>
        <w:rPr>
          <w:u w:val="single"/>
        </w:rPr>
        <w:t>right</w:t>
      </w:r>
      <w:r>
        <w:rPr>
          <w:spacing w:val="9"/>
          <w:u w:val="single"/>
        </w:rPr>
        <w:t> </w:t>
      </w:r>
      <w:r>
        <w:rPr>
          <w:u w:val="single"/>
        </w:rPr>
        <w:t>to</w:t>
      </w:r>
      <w:r>
        <w:rPr>
          <w:spacing w:val="7"/>
          <w:u w:val="single"/>
        </w:rPr>
        <w:t> </w:t>
      </w:r>
      <w:r>
        <w:rPr>
          <w:u w:val="single"/>
        </w:rPr>
        <w:t>effective</w:t>
      </w:r>
      <w:r>
        <w:rPr>
          <w:spacing w:val="10"/>
          <w:u w:val="single"/>
        </w:rPr>
        <w:t> </w:t>
      </w:r>
      <w:r>
        <w:rPr>
          <w:u w:val="single"/>
        </w:rPr>
        <w:t>assistance</w:t>
      </w:r>
      <w:r>
        <w:rPr>
          <w:spacing w:val="10"/>
          <w:u w:val="single"/>
        </w:rPr>
        <w:t> </w:t>
      </w:r>
      <w:r>
        <w:rPr>
          <w:u w:val="single"/>
        </w:rPr>
        <w:t>of</w:t>
      </w:r>
      <w:r>
        <w:rPr>
          <w:spacing w:val="8"/>
          <w:u w:val="single"/>
        </w:rPr>
        <w:t> </w:t>
      </w:r>
      <w:r>
        <w:rPr>
          <w:u w:val="single"/>
        </w:rPr>
        <w:t>counsel</w:t>
      </w:r>
      <w:r>
        <w:rPr/>
        <w:t>.</w:t>
      </w:r>
      <w:r>
        <w:rPr>
          <w:spacing w:val="9"/>
        </w:rPr>
        <w:t> </w:t>
      </w:r>
      <w:r>
        <w:rPr/>
        <w:t>U.S.</w:t>
      </w:r>
      <w:r>
        <w:rPr>
          <w:spacing w:val="11"/>
        </w:rPr>
        <w:t> </w:t>
      </w:r>
      <w:r>
        <w:rPr/>
        <w:t>Const.</w:t>
      </w:r>
      <w:r>
        <w:rPr>
          <w:spacing w:val="8"/>
        </w:rPr>
        <w:t> </w:t>
      </w:r>
      <w:r>
        <w:rPr/>
        <w:t>Amends.</w:t>
      </w:r>
      <w:r>
        <w:rPr>
          <w:spacing w:val="9"/>
        </w:rPr>
        <w:t> </w:t>
      </w:r>
      <w:r>
        <w:rPr/>
        <w:t>VI</w:t>
      </w:r>
      <w:r>
        <w:rPr>
          <w:spacing w:val="10"/>
        </w:rPr>
        <w:t> </w:t>
      </w:r>
      <w:r>
        <w:rPr/>
        <w:t>and</w:t>
      </w:r>
      <w:r>
        <w:rPr>
          <w:spacing w:val="7"/>
        </w:rPr>
        <w:t> </w:t>
      </w:r>
      <w:r>
        <w:rPr/>
        <w:t>XIV;</w:t>
      </w:r>
      <w:r>
        <w:rPr>
          <w:spacing w:val="10"/>
        </w:rPr>
        <w:t> </w:t>
      </w:r>
      <w:r>
        <w:rPr/>
        <w:t>Colo.</w:t>
      </w:r>
    </w:p>
    <w:p>
      <w:pPr>
        <w:pStyle w:val="BodyText"/>
        <w:spacing w:before="2"/>
        <w:ind w:left="0"/>
        <w:rPr>
          <w:sz w:val="16"/>
        </w:rPr>
      </w:pPr>
    </w:p>
    <w:p>
      <w:pPr>
        <w:pStyle w:val="BodyText"/>
        <w:spacing w:line="480" w:lineRule="auto" w:before="90"/>
      </w:pPr>
      <w:r>
        <w:rPr/>
        <w:t>Const. Art. II, Sec. 16. This right may be violated by representation that falls below the level of competence</w:t>
      </w:r>
      <w:r>
        <w:rPr>
          <w:spacing w:val="5"/>
        </w:rPr>
        <w:t> </w:t>
      </w:r>
      <w:r>
        <w:rPr/>
        <w:t>to</w:t>
      </w:r>
      <w:r>
        <w:rPr>
          <w:spacing w:val="6"/>
        </w:rPr>
        <w:t> </w:t>
      </w:r>
      <w:r>
        <w:rPr/>
        <w:t>be</w:t>
      </w:r>
      <w:r>
        <w:rPr>
          <w:spacing w:val="6"/>
        </w:rPr>
        <w:t> </w:t>
      </w:r>
      <w:r>
        <w:rPr/>
        <w:t>expected</w:t>
      </w:r>
      <w:r>
        <w:rPr>
          <w:spacing w:val="6"/>
        </w:rPr>
        <w:t> </w:t>
      </w:r>
      <w:r>
        <w:rPr/>
        <w:t>of</w:t>
      </w:r>
      <w:r>
        <w:rPr>
          <w:spacing w:val="4"/>
        </w:rPr>
        <w:t> </w:t>
      </w:r>
      <w:r>
        <w:rPr/>
        <w:t>a</w:t>
      </w:r>
      <w:r>
        <w:rPr>
          <w:spacing w:val="6"/>
        </w:rPr>
        <w:t> </w:t>
      </w:r>
      <w:r>
        <w:rPr/>
        <w:t>reasonably</w:t>
      </w:r>
      <w:r>
        <w:rPr>
          <w:spacing w:val="6"/>
        </w:rPr>
        <w:t> </w:t>
      </w:r>
      <w:r>
        <w:rPr/>
        <w:t>competent</w:t>
      </w:r>
      <w:r>
        <w:rPr>
          <w:spacing w:val="6"/>
        </w:rPr>
        <w:t> </w:t>
      </w:r>
      <w:r>
        <w:rPr/>
        <w:t>attorney</w:t>
      </w:r>
      <w:r>
        <w:rPr>
          <w:spacing w:val="5"/>
        </w:rPr>
        <w:t> </w:t>
      </w:r>
      <w:r>
        <w:rPr>
          <w:u w:val="single"/>
        </w:rPr>
        <w:t>practicing</w:t>
      </w:r>
      <w:r>
        <w:rPr>
          <w:spacing w:val="6"/>
          <w:u w:val="single"/>
        </w:rPr>
        <w:t> </w:t>
      </w:r>
      <w:r>
        <w:rPr>
          <w:u w:val="single"/>
        </w:rPr>
        <w:t>criminal</w:t>
      </w:r>
      <w:r>
        <w:rPr>
          <w:spacing w:val="6"/>
          <w:u w:val="single"/>
        </w:rPr>
        <w:t> </w:t>
      </w:r>
      <w:r>
        <w:rPr>
          <w:u w:val="single"/>
        </w:rPr>
        <w:t>law</w:t>
      </w:r>
      <w:r>
        <w:rPr/>
        <w:t>,</w:t>
      </w:r>
      <w:r>
        <w:rPr>
          <w:spacing w:val="6"/>
        </w:rPr>
        <w:t> </w:t>
      </w:r>
      <w:r>
        <w:rPr/>
        <w:t>see,</w:t>
      </w:r>
      <w:r>
        <w:rPr>
          <w:spacing w:val="5"/>
        </w:rPr>
        <w:t> </w:t>
      </w:r>
      <w:r>
        <w:rPr/>
        <w:t>e.g.,</w:t>
      </w:r>
    </w:p>
    <w:p>
      <w:pPr>
        <w:spacing w:before="0"/>
        <w:ind w:left="120" w:right="0" w:firstLine="0"/>
        <w:jc w:val="left"/>
        <w:rPr>
          <w:i/>
          <w:sz w:val="24"/>
        </w:rPr>
      </w:pPr>
      <w:r>
        <w:rPr>
          <w:i/>
          <w:sz w:val="24"/>
        </w:rPr>
        <w:t>McMann</w:t>
      </w:r>
      <w:r>
        <w:rPr>
          <w:i/>
          <w:spacing w:val="11"/>
          <w:sz w:val="24"/>
        </w:rPr>
        <w:t> </w:t>
      </w:r>
      <w:r>
        <w:rPr>
          <w:i/>
          <w:sz w:val="24"/>
        </w:rPr>
        <w:t>v.</w:t>
      </w:r>
      <w:r>
        <w:rPr>
          <w:i/>
          <w:spacing w:val="9"/>
          <w:sz w:val="24"/>
        </w:rPr>
        <w:t> </w:t>
      </w:r>
      <w:r>
        <w:rPr>
          <w:i/>
          <w:sz w:val="24"/>
        </w:rPr>
        <w:t>Richardson</w:t>
      </w:r>
      <w:r>
        <w:rPr>
          <w:sz w:val="24"/>
        </w:rPr>
        <w:t>,</w:t>
      </w:r>
      <w:r>
        <w:rPr>
          <w:spacing w:val="10"/>
          <w:sz w:val="24"/>
        </w:rPr>
        <w:t> </w:t>
      </w:r>
      <w:r>
        <w:rPr>
          <w:sz w:val="24"/>
        </w:rPr>
        <w:t>397</w:t>
      </w:r>
      <w:r>
        <w:rPr>
          <w:spacing w:val="11"/>
          <w:sz w:val="24"/>
        </w:rPr>
        <w:t> </w:t>
      </w:r>
      <w:r>
        <w:rPr>
          <w:sz w:val="24"/>
        </w:rPr>
        <w:t>U.S.</w:t>
      </w:r>
      <w:r>
        <w:rPr>
          <w:spacing w:val="11"/>
          <w:sz w:val="24"/>
        </w:rPr>
        <w:t> </w:t>
      </w:r>
      <w:r>
        <w:rPr>
          <w:sz w:val="24"/>
        </w:rPr>
        <w:t>759,</w:t>
      </w:r>
      <w:r>
        <w:rPr>
          <w:spacing w:val="12"/>
          <w:sz w:val="24"/>
        </w:rPr>
        <w:t> </w:t>
      </w:r>
      <w:r>
        <w:rPr>
          <w:sz w:val="24"/>
        </w:rPr>
        <w:t>90</w:t>
      </w:r>
      <w:r>
        <w:rPr>
          <w:spacing w:val="11"/>
          <w:sz w:val="24"/>
        </w:rPr>
        <w:t> </w:t>
      </w:r>
      <w:r>
        <w:rPr>
          <w:sz w:val="24"/>
        </w:rPr>
        <w:t>S.Ct.</w:t>
      </w:r>
      <w:r>
        <w:rPr>
          <w:spacing w:val="12"/>
          <w:sz w:val="24"/>
        </w:rPr>
        <w:t> </w:t>
      </w:r>
      <w:r>
        <w:rPr>
          <w:sz w:val="24"/>
        </w:rPr>
        <w:t>1441,</w:t>
      </w:r>
      <w:r>
        <w:rPr>
          <w:spacing w:val="11"/>
          <w:sz w:val="24"/>
        </w:rPr>
        <w:t> </w:t>
      </w:r>
      <w:r>
        <w:rPr>
          <w:sz w:val="24"/>
        </w:rPr>
        <w:t>25</w:t>
      </w:r>
      <w:r>
        <w:rPr>
          <w:spacing w:val="11"/>
          <w:sz w:val="24"/>
        </w:rPr>
        <w:t> </w:t>
      </w:r>
      <w:r>
        <w:rPr>
          <w:sz w:val="24"/>
        </w:rPr>
        <w:t>L.Ed.2d</w:t>
      </w:r>
      <w:r>
        <w:rPr>
          <w:spacing w:val="12"/>
          <w:sz w:val="24"/>
        </w:rPr>
        <w:t> </w:t>
      </w:r>
      <w:r>
        <w:rPr>
          <w:sz w:val="24"/>
        </w:rPr>
        <w:t>763</w:t>
      </w:r>
      <w:r>
        <w:rPr>
          <w:spacing w:val="11"/>
          <w:sz w:val="24"/>
        </w:rPr>
        <w:t> </w:t>
      </w:r>
      <w:r>
        <w:rPr>
          <w:sz w:val="24"/>
        </w:rPr>
        <w:t>(1970);</w:t>
      </w:r>
      <w:r>
        <w:rPr>
          <w:spacing w:val="12"/>
          <w:sz w:val="24"/>
        </w:rPr>
        <w:t> </w:t>
      </w:r>
      <w:r>
        <w:rPr>
          <w:i/>
          <w:sz w:val="24"/>
        </w:rPr>
        <w:t>People</w:t>
      </w:r>
      <w:r>
        <w:rPr>
          <w:i/>
          <w:spacing w:val="11"/>
          <w:sz w:val="24"/>
        </w:rPr>
        <w:t> </w:t>
      </w:r>
      <w:r>
        <w:rPr>
          <w:i/>
          <w:sz w:val="24"/>
        </w:rPr>
        <w:t>v.</w:t>
      </w:r>
      <w:r>
        <w:rPr>
          <w:i/>
          <w:spacing w:val="11"/>
          <w:sz w:val="24"/>
        </w:rPr>
        <w:t> </w:t>
      </w:r>
      <w:r>
        <w:rPr>
          <w:i/>
          <w:sz w:val="24"/>
        </w:rPr>
        <w:t>Stroup,</w:t>
      </w:r>
    </w:p>
    <w:p>
      <w:pPr>
        <w:pStyle w:val="BodyText"/>
        <w:ind w:left="0"/>
        <w:rPr>
          <w:i/>
        </w:rPr>
      </w:pPr>
    </w:p>
    <w:p>
      <w:pPr>
        <w:pStyle w:val="BodyText"/>
      </w:pPr>
      <w:r>
        <w:rPr/>
        <w:t>656</w:t>
      </w:r>
      <w:r>
        <w:rPr>
          <w:spacing w:val="5"/>
        </w:rPr>
        <w:t> </w:t>
      </w:r>
      <w:r>
        <w:rPr/>
        <w:t>P.2d</w:t>
      </w:r>
      <w:r>
        <w:rPr>
          <w:spacing w:val="5"/>
        </w:rPr>
        <w:t> </w:t>
      </w:r>
      <w:r>
        <w:rPr/>
        <w:t>680</w:t>
      </w:r>
      <w:r>
        <w:rPr>
          <w:spacing w:val="5"/>
        </w:rPr>
        <w:t> </w:t>
      </w:r>
      <w:r>
        <w:rPr/>
        <w:t>(Colo.1982).</w:t>
      </w:r>
      <w:r>
        <w:rPr>
          <w:spacing w:val="6"/>
        </w:rPr>
        <w:t> </w:t>
      </w:r>
      <w:r>
        <w:rPr>
          <w:u w:val="single"/>
        </w:rPr>
        <w:t>This</w:t>
      </w:r>
      <w:r>
        <w:rPr>
          <w:spacing w:val="5"/>
          <w:u w:val="single"/>
        </w:rPr>
        <w:t> </w:t>
      </w:r>
      <w:r>
        <w:rPr>
          <w:u w:val="single"/>
        </w:rPr>
        <w:t>has</w:t>
      </w:r>
      <w:r>
        <w:rPr>
          <w:spacing w:val="5"/>
          <w:u w:val="single"/>
        </w:rPr>
        <w:t> </w:t>
      </w:r>
      <w:r>
        <w:rPr>
          <w:u w:val="single"/>
        </w:rPr>
        <w:t>nothing</w:t>
      </w:r>
      <w:r>
        <w:rPr>
          <w:spacing w:val="5"/>
          <w:u w:val="single"/>
        </w:rPr>
        <w:t> </w:t>
      </w:r>
      <w:r>
        <w:rPr>
          <w:u w:val="single"/>
        </w:rPr>
        <w:t>to</w:t>
      </w:r>
      <w:r>
        <w:rPr>
          <w:spacing w:val="6"/>
          <w:u w:val="single"/>
        </w:rPr>
        <w:t> </w:t>
      </w:r>
      <w:r>
        <w:rPr>
          <w:u w:val="single"/>
        </w:rPr>
        <w:t>do</w:t>
      </w:r>
      <w:r>
        <w:rPr>
          <w:spacing w:val="5"/>
          <w:u w:val="single"/>
        </w:rPr>
        <w:t> </w:t>
      </w:r>
      <w:r>
        <w:rPr>
          <w:u w:val="single"/>
        </w:rPr>
        <w:t>with</w:t>
      </w:r>
      <w:r>
        <w:rPr>
          <w:spacing w:val="5"/>
          <w:u w:val="single"/>
        </w:rPr>
        <w:t> </w:t>
      </w:r>
      <w:r>
        <w:rPr>
          <w:u w:val="single"/>
        </w:rPr>
        <w:t>civil</w:t>
      </w:r>
      <w:r>
        <w:rPr>
          <w:spacing w:val="4"/>
          <w:u w:val="single"/>
        </w:rPr>
        <w:t> </w:t>
      </w:r>
      <w:r>
        <w:rPr>
          <w:u w:val="single"/>
        </w:rPr>
        <w:t>proceedings</w:t>
      </w:r>
      <w:r>
        <w:rPr>
          <w:spacing w:val="6"/>
          <w:u w:val="single"/>
        </w:rPr>
        <w:t> </w:t>
      </w:r>
      <w:r>
        <w:rPr>
          <w:u w:val="single"/>
        </w:rPr>
        <w:t>as</w:t>
      </w:r>
      <w:r>
        <w:rPr>
          <w:spacing w:val="5"/>
          <w:u w:val="single"/>
        </w:rPr>
        <w:t> </w:t>
      </w:r>
      <w:r>
        <w:rPr>
          <w:u w:val="single"/>
        </w:rPr>
        <w:t>the</w:t>
      </w:r>
      <w:r>
        <w:rPr>
          <w:spacing w:val="5"/>
          <w:u w:val="single"/>
        </w:rPr>
        <w:t> </w:t>
      </w:r>
      <w:r>
        <w:rPr>
          <w:u w:val="single"/>
        </w:rPr>
        <w:t>adequate</w:t>
      </w:r>
      <w:r>
        <w:rPr>
          <w:spacing w:val="5"/>
          <w:u w:val="single"/>
        </w:rPr>
        <w:t> </w:t>
      </w:r>
      <w:r>
        <w:rPr>
          <w:u w:val="single"/>
        </w:rPr>
        <w:t>remedy</w:t>
      </w:r>
    </w:p>
    <w:p>
      <w:pPr>
        <w:pStyle w:val="BodyText"/>
        <w:spacing w:before="2"/>
        <w:ind w:left="0"/>
        <w:rPr>
          <w:sz w:val="16"/>
        </w:rPr>
      </w:pPr>
    </w:p>
    <w:p>
      <w:pPr>
        <w:pStyle w:val="BodyText"/>
        <w:spacing w:before="90"/>
      </w:pPr>
      <w:r>
        <w:rPr>
          <w:u w:val="single"/>
        </w:rPr>
        <w:t>at law in civil proceedings is attorney malpractice.</w:t>
      </w:r>
      <w:r>
        <w:rPr/>
        <w:t> </w:t>
      </w:r>
      <w:r>
        <w:rPr>
          <w:i/>
        </w:rPr>
        <w:t>People v. Castro</w:t>
      </w:r>
      <w:r>
        <w:rPr/>
        <w:t>, 657 P.2d 932 (Colo).</w:t>
      </w:r>
    </w:p>
    <w:p>
      <w:pPr>
        <w:spacing w:after="0"/>
        <w:sectPr>
          <w:pgSz w:w="12240" w:h="15840"/>
          <w:pgMar w:header="0" w:footer="1065" w:top="1360" w:bottom="1260" w:left="1320" w:right="1240"/>
        </w:sectPr>
      </w:pPr>
    </w:p>
    <w:p>
      <w:pPr>
        <w:pStyle w:val="ListParagraph"/>
        <w:numPr>
          <w:ilvl w:val="0"/>
          <w:numId w:val="1"/>
        </w:numPr>
        <w:tabs>
          <w:tab w:pos="1469" w:val="left" w:leader="none"/>
          <w:tab w:pos="1470" w:val="left" w:leader="none"/>
        </w:tabs>
        <w:spacing w:line="240" w:lineRule="auto" w:before="76" w:after="0"/>
        <w:ind w:left="1470" w:right="0" w:hanging="630"/>
        <w:jc w:val="left"/>
        <w:rPr>
          <w:sz w:val="24"/>
        </w:rPr>
      </w:pPr>
      <w:r>
        <w:rPr>
          <w:sz w:val="24"/>
        </w:rPr>
        <w:t>IAC</w:t>
      </w:r>
      <w:r>
        <w:rPr>
          <w:spacing w:val="11"/>
          <w:sz w:val="24"/>
        </w:rPr>
        <w:t> </w:t>
      </w:r>
      <w:r>
        <w:rPr>
          <w:sz w:val="24"/>
        </w:rPr>
        <w:t>is</w:t>
      </w:r>
      <w:r>
        <w:rPr>
          <w:spacing w:val="12"/>
          <w:sz w:val="24"/>
        </w:rPr>
        <w:t> </w:t>
      </w:r>
      <w:r>
        <w:rPr>
          <w:sz w:val="24"/>
        </w:rPr>
        <w:t>post</w:t>
      </w:r>
      <w:r>
        <w:rPr>
          <w:spacing w:val="12"/>
          <w:sz w:val="24"/>
        </w:rPr>
        <w:t> </w:t>
      </w:r>
      <w:r>
        <w:rPr>
          <w:sz w:val="24"/>
        </w:rPr>
        <w:t>trial</w:t>
      </w:r>
      <w:r>
        <w:rPr>
          <w:spacing w:val="12"/>
          <w:sz w:val="24"/>
        </w:rPr>
        <w:t> </w:t>
      </w:r>
      <w:r>
        <w:rPr>
          <w:sz w:val="24"/>
        </w:rPr>
        <w:t>relief</w:t>
      </w:r>
      <w:r>
        <w:rPr>
          <w:spacing w:val="12"/>
          <w:sz w:val="24"/>
        </w:rPr>
        <w:t> </w:t>
      </w:r>
      <w:r>
        <w:rPr>
          <w:sz w:val="24"/>
          <w:u w:val="single"/>
        </w:rPr>
        <w:t>in</w:t>
      </w:r>
      <w:r>
        <w:rPr>
          <w:spacing w:val="11"/>
          <w:sz w:val="24"/>
          <w:u w:val="single"/>
        </w:rPr>
        <w:t> </w:t>
      </w:r>
      <w:r>
        <w:rPr>
          <w:sz w:val="24"/>
          <w:u w:val="single"/>
        </w:rPr>
        <w:t>criminal</w:t>
      </w:r>
      <w:r>
        <w:rPr>
          <w:spacing w:val="12"/>
          <w:sz w:val="24"/>
          <w:u w:val="single"/>
        </w:rPr>
        <w:t> </w:t>
      </w:r>
      <w:r>
        <w:rPr>
          <w:sz w:val="24"/>
          <w:u w:val="single"/>
        </w:rPr>
        <w:t>cases.</w:t>
      </w:r>
      <w:r>
        <w:rPr>
          <w:spacing w:val="23"/>
          <w:sz w:val="24"/>
        </w:rPr>
        <w:t> </w:t>
      </w:r>
      <w:r>
        <w:rPr>
          <w:sz w:val="24"/>
        </w:rPr>
        <w:t>The</w:t>
      </w:r>
      <w:r>
        <w:rPr>
          <w:spacing w:val="14"/>
          <w:sz w:val="24"/>
        </w:rPr>
        <w:t> </w:t>
      </w:r>
      <w:r>
        <w:rPr>
          <w:sz w:val="24"/>
        </w:rPr>
        <w:t>U.S.</w:t>
      </w:r>
      <w:r>
        <w:rPr>
          <w:spacing w:val="12"/>
          <w:sz w:val="24"/>
        </w:rPr>
        <w:t> </w:t>
      </w:r>
      <w:r>
        <w:rPr>
          <w:sz w:val="24"/>
        </w:rPr>
        <w:t>Supreme</w:t>
      </w:r>
      <w:r>
        <w:rPr>
          <w:spacing w:val="13"/>
          <w:sz w:val="24"/>
        </w:rPr>
        <w:t> </w:t>
      </w:r>
      <w:r>
        <w:rPr>
          <w:sz w:val="24"/>
        </w:rPr>
        <w:t>Court</w:t>
      </w:r>
      <w:r>
        <w:rPr>
          <w:spacing w:val="12"/>
          <w:sz w:val="24"/>
        </w:rPr>
        <w:t> </w:t>
      </w:r>
      <w:r>
        <w:rPr>
          <w:sz w:val="24"/>
        </w:rPr>
        <w:t>established</w:t>
      </w:r>
      <w:r>
        <w:rPr>
          <w:spacing w:val="13"/>
          <w:sz w:val="24"/>
        </w:rPr>
        <w:t> </w:t>
      </w:r>
      <w:r>
        <w:rPr>
          <w:sz w:val="24"/>
        </w:rPr>
        <w:t>the</w:t>
      </w:r>
    </w:p>
    <w:p>
      <w:pPr>
        <w:pStyle w:val="BodyText"/>
        <w:spacing w:before="2"/>
        <w:ind w:left="0"/>
        <w:rPr>
          <w:sz w:val="16"/>
        </w:rPr>
      </w:pPr>
    </w:p>
    <w:p>
      <w:pPr>
        <w:pStyle w:val="BodyText"/>
        <w:spacing w:line="480" w:lineRule="auto" w:before="90"/>
        <w:ind w:right="198"/>
        <w:jc w:val="both"/>
      </w:pPr>
      <w:r>
        <w:rPr/>
        <w:t>test for ineffective assistance of counsel in </w:t>
      </w:r>
      <w:r>
        <w:rPr>
          <w:i/>
        </w:rPr>
        <w:t>Strickland v. Washington, </w:t>
      </w:r>
      <w:r>
        <w:rPr/>
        <w:t>466 U.S. 668, 104 S.Ct. 2052, 80 L.Ed.2d 674 (1984). In order to prevail on an ineffective assistance of counsel claim, a defendant must prove, 1) counsel's performance was deficient and 2) the deficient performance prejudiced the defense. </w:t>
      </w:r>
      <w:r>
        <w:rPr>
          <w:i/>
        </w:rPr>
        <w:t>Strickland, </w:t>
      </w:r>
      <w:r>
        <w:rPr/>
        <w:t>466 U.S. at 687, 104 S.Ct. 2052. Unless both showings are made, a defendant has not proven that he was denied the effective assistance of counsel. </w:t>
      </w:r>
      <w:r>
        <w:rPr>
          <w:i/>
        </w:rPr>
        <w:t>Id</w:t>
      </w:r>
      <w:r>
        <w:rPr/>
        <w:t>.</w:t>
      </w:r>
    </w:p>
    <w:p>
      <w:pPr>
        <w:pStyle w:val="ListParagraph"/>
        <w:numPr>
          <w:ilvl w:val="0"/>
          <w:numId w:val="1"/>
        </w:numPr>
        <w:tabs>
          <w:tab w:pos="1470" w:val="left" w:leader="none"/>
        </w:tabs>
        <w:spacing w:line="480" w:lineRule="auto" w:before="1" w:after="0"/>
        <w:ind w:left="120" w:right="197" w:firstLine="720"/>
        <w:jc w:val="both"/>
        <w:rPr>
          <w:i/>
          <w:sz w:val="24"/>
        </w:rPr>
      </w:pPr>
      <w:r>
        <w:rPr>
          <w:sz w:val="24"/>
        </w:rPr>
        <w:t>Here, in a civil case, Plaintiff's claims arise as legal malpractice claims. “A breach of fiduciary duty claim asserted against a lawyer is a species of legal malpractice.” </w:t>
      </w:r>
      <w:r>
        <w:rPr>
          <w:i/>
          <w:sz w:val="24"/>
        </w:rPr>
        <w:t>Aller v. The </w:t>
      </w:r>
      <w:r>
        <w:rPr>
          <w:i/>
          <w:sz w:val="24"/>
        </w:rPr>
        <w:t>law office of Schriefer, </w:t>
      </w:r>
      <w:r>
        <w:rPr>
          <w:sz w:val="24"/>
        </w:rPr>
        <w:t>140 P.3d 23, 27 (Colo. App. 2006). “When such a claim is based on the breach of the duties of loyalty and confidentiality emanating from the attorney-client status between the parties, those duties are measured against standards applicable to attorneys.” </w:t>
      </w:r>
      <w:r>
        <w:rPr>
          <w:i/>
          <w:sz w:val="24"/>
        </w:rPr>
        <w:t>Id. </w:t>
      </w:r>
      <w:r>
        <w:rPr>
          <w:sz w:val="24"/>
        </w:rPr>
        <w:t>“Stated differently, a fiduciary breach in this context is a legal malpractice claim based on negligence because it arises from the representation of a client and involves the fundamental aspects of an attorney-client relationship.”</w:t>
      </w:r>
      <w:r>
        <w:rPr>
          <w:spacing w:val="-3"/>
          <w:sz w:val="24"/>
        </w:rPr>
        <w:t> </w:t>
      </w:r>
      <w:r>
        <w:rPr>
          <w:i/>
          <w:sz w:val="24"/>
        </w:rPr>
        <w:t>Id.</w:t>
      </w:r>
    </w:p>
    <w:p>
      <w:pPr>
        <w:pStyle w:val="ListParagraph"/>
        <w:numPr>
          <w:ilvl w:val="0"/>
          <w:numId w:val="1"/>
        </w:numPr>
        <w:tabs>
          <w:tab w:pos="1470" w:val="left" w:leader="none"/>
        </w:tabs>
        <w:spacing w:line="480" w:lineRule="auto" w:before="0" w:after="0"/>
        <w:ind w:left="120" w:right="106" w:firstLine="720"/>
        <w:jc w:val="both"/>
        <w:rPr>
          <w:sz w:val="24"/>
        </w:rPr>
      </w:pPr>
      <w:r>
        <w:rPr>
          <w:sz w:val="24"/>
        </w:rPr>
        <w:t>For the performance prong, a defendant must prove that counsel's representation "fell below an objective standard of-reasonableness." </w:t>
      </w:r>
      <w:r>
        <w:rPr>
          <w:i/>
          <w:sz w:val="24"/>
        </w:rPr>
        <w:t>Strickland, </w:t>
      </w:r>
      <w:r>
        <w:rPr>
          <w:sz w:val="24"/>
        </w:rPr>
        <w:t>466 U.S. at 688, 104 S.Ct. 2052. In conducting the reasonableness inquiry, a court must make "every effort ... to eliminate the distorting effects of hindsight, to reconstruct the circumstances of counsel's challenged conduct, and to evaluate the conduct from counsel's perspective at the time." </w:t>
      </w:r>
      <w:r>
        <w:rPr>
          <w:i/>
          <w:sz w:val="24"/>
        </w:rPr>
        <w:t>Id. </w:t>
      </w:r>
      <w:r>
        <w:rPr>
          <w:sz w:val="24"/>
        </w:rPr>
        <w:t>at 689, 104 S.Ct. 2052. In addition, "a court must indulge a strong presumption that counsel's conduct falls within the wide range of reasonable professional assistance." </w:t>
      </w:r>
      <w:r>
        <w:rPr>
          <w:i/>
          <w:sz w:val="24"/>
        </w:rPr>
        <w:t>Id. </w:t>
      </w:r>
      <w:r>
        <w:rPr>
          <w:sz w:val="24"/>
        </w:rPr>
        <w:t>The court erred in granting a continuance on  IAC because it does not apply prospectively; it applies retroactively in criminal</w:t>
      </w:r>
      <w:r>
        <w:rPr>
          <w:spacing w:val="-12"/>
          <w:sz w:val="24"/>
        </w:rPr>
        <w:t> </w:t>
      </w:r>
      <w:r>
        <w:rPr>
          <w:sz w:val="24"/>
        </w:rPr>
        <w:t>matters.</w:t>
      </w:r>
    </w:p>
    <w:p>
      <w:pPr>
        <w:spacing w:after="0" w:line="480" w:lineRule="auto"/>
        <w:jc w:val="both"/>
        <w:rPr>
          <w:sz w:val="24"/>
        </w:rPr>
        <w:sectPr>
          <w:pgSz w:w="12240" w:h="15840"/>
          <w:pgMar w:header="0" w:footer="1065" w:top="1360" w:bottom="1260" w:left="1320" w:right="1240"/>
        </w:sectPr>
      </w:pPr>
    </w:p>
    <w:p>
      <w:pPr>
        <w:pStyle w:val="ListParagraph"/>
        <w:numPr>
          <w:ilvl w:val="0"/>
          <w:numId w:val="1"/>
        </w:numPr>
        <w:tabs>
          <w:tab w:pos="1470" w:val="left" w:leader="none"/>
        </w:tabs>
        <w:spacing w:line="480" w:lineRule="auto" w:before="76" w:after="0"/>
        <w:ind w:left="120" w:right="196" w:firstLine="720"/>
        <w:jc w:val="both"/>
        <w:rPr>
          <w:sz w:val="24"/>
        </w:rPr>
      </w:pPr>
      <w:r>
        <w:rPr>
          <w:sz w:val="24"/>
        </w:rPr>
        <w:t>For the prejudice prong, a defendant must show "there is a reasonable probability that, but for counsel's unprofessional errors, the result of the proceeding would have been different. A reasonable probability is a probability sufficient to undermine confidence in the outcome." </w:t>
      </w:r>
      <w:r>
        <w:rPr>
          <w:i/>
          <w:sz w:val="24"/>
        </w:rPr>
        <w:t>Strickland</w:t>
      </w:r>
      <w:r>
        <w:rPr>
          <w:sz w:val="24"/>
        </w:rPr>
        <w:t>, 466 U.S. at 694, 104 S.Ct. 2052. </w:t>
      </w:r>
      <w:r>
        <w:rPr>
          <w:b/>
          <w:sz w:val="24"/>
        </w:rPr>
        <w:t>Only </w:t>
      </w:r>
      <w:r>
        <w:rPr>
          <w:sz w:val="24"/>
        </w:rPr>
        <w:t>where both the performance prong and</w:t>
      </w:r>
      <w:r>
        <w:rPr>
          <w:spacing w:val="20"/>
          <w:sz w:val="24"/>
        </w:rPr>
        <w:t> </w:t>
      </w:r>
      <w:r>
        <w:rPr>
          <w:sz w:val="24"/>
        </w:rPr>
        <w:t>the</w:t>
      </w:r>
      <w:r>
        <w:rPr>
          <w:spacing w:val="19"/>
          <w:sz w:val="24"/>
        </w:rPr>
        <w:t> </w:t>
      </w:r>
      <w:r>
        <w:rPr>
          <w:sz w:val="24"/>
        </w:rPr>
        <w:t>prejudice</w:t>
      </w:r>
      <w:r>
        <w:rPr>
          <w:spacing w:val="20"/>
          <w:sz w:val="24"/>
        </w:rPr>
        <w:t> </w:t>
      </w:r>
      <w:r>
        <w:rPr>
          <w:sz w:val="24"/>
        </w:rPr>
        <w:t>prong</w:t>
      </w:r>
      <w:r>
        <w:rPr>
          <w:spacing w:val="19"/>
          <w:sz w:val="24"/>
        </w:rPr>
        <w:t> </w:t>
      </w:r>
      <w:r>
        <w:rPr>
          <w:sz w:val="24"/>
        </w:rPr>
        <w:t>have</w:t>
      </w:r>
      <w:r>
        <w:rPr>
          <w:spacing w:val="20"/>
          <w:sz w:val="24"/>
        </w:rPr>
        <w:t> </w:t>
      </w:r>
      <w:r>
        <w:rPr>
          <w:sz w:val="24"/>
        </w:rPr>
        <w:t>been</w:t>
      </w:r>
      <w:r>
        <w:rPr>
          <w:spacing w:val="19"/>
          <w:sz w:val="24"/>
        </w:rPr>
        <w:t> </w:t>
      </w:r>
      <w:r>
        <w:rPr>
          <w:sz w:val="24"/>
        </w:rPr>
        <w:t>proven</w:t>
      </w:r>
      <w:r>
        <w:rPr>
          <w:spacing w:val="20"/>
          <w:sz w:val="24"/>
        </w:rPr>
        <w:t> </w:t>
      </w:r>
      <w:r>
        <w:rPr>
          <w:sz w:val="24"/>
        </w:rPr>
        <w:t>will</w:t>
      </w:r>
      <w:r>
        <w:rPr>
          <w:spacing w:val="19"/>
          <w:sz w:val="24"/>
        </w:rPr>
        <w:t> </w:t>
      </w:r>
      <w:r>
        <w:rPr>
          <w:sz w:val="24"/>
        </w:rPr>
        <w:t>a</w:t>
      </w:r>
      <w:r>
        <w:rPr>
          <w:spacing w:val="20"/>
          <w:sz w:val="24"/>
        </w:rPr>
        <w:t> </w:t>
      </w:r>
      <w:r>
        <w:rPr>
          <w:sz w:val="24"/>
        </w:rPr>
        <w:t>defendant</w:t>
      </w:r>
      <w:r>
        <w:rPr>
          <w:spacing w:val="19"/>
          <w:sz w:val="24"/>
        </w:rPr>
        <w:t> </w:t>
      </w:r>
      <w:r>
        <w:rPr>
          <w:sz w:val="24"/>
        </w:rPr>
        <w:t>be</w:t>
      </w:r>
      <w:r>
        <w:rPr>
          <w:spacing w:val="20"/>
          <w:sz w:val="24"/>
        </w:rPr>
        <w:t> </w:t>
      </w:r>
      <w:r>
        <w:rPr>
          <w:sz w:val="24"/>
        </w:rPr>
        <w:t>entitled</w:t>
      </w:r>
      <w:r>
        <w:rPr>
          <w:spacing w:val="20"/>
          <w:sz w:val="24"/>
        </w:rPr>
        <w:t> </w:t>
      </w:r>
      <w:r>
        <w:rPr>
          <w:sz w:val="24"/>
        </w:rPr>
        <w:t>to</w:t>
      </w:r>
      <w:r>
        <w:rPr>
          <w:spacing w:val="20"/>
          <w:sz w:val="24"/>
        </w:rPr>
        <w:t> </w:t>
      </w:r>
      <w:r>
        <w:rPr>
          <w:sz w:val="24"/>
          <w:u w:val="single"/>
        </w:rPr>
        <w:t>post-conviction</w:t>
      </w:r>
      <w:r>
        <w:rPr>
          <w:spacing w:val="19"/>
          <w:sz w:val="24"/>
          <w:u w:val="single"/>
        </w:rPr>
        <w:t> </w:t>
      </w:r>
      <w:r>
        <w:rPr>
          <w:sz w:val="24"/>
          <w:u w:val="single"/>
        </w:rPr>
        <w:t>relief</w:t>
      </w:r>
    </w:p>
    <w:p>
      <w:pPr>
        <w:pStyle w:val="BodyText"/>
        <w:spacing w:line="480" w:lineRule="auto" w:before="1"/>
        <w:ind w:right="197"/>
      </w:pPr>
      <w:r>
        <w:rPr/>
        <w:t>because of the ineffective assistance of counsel. </w:t>
      </w:r>
      <w:r>
        <w:rPr>
          <w:i/>
        </w:rPr>
        <w:t>Id. </w:t>
      </w:r>
      <w:r>
        <w:rPr/>
        <w:t>Under the court’s flawed reasoning, granting a continuance on Boyce’s basis of IAC, the court erred in granting a trial continuance.</w:t>
      </w:r>
    </w:p>
    <w:p>
      <w:pPr>
        <w:pStyle w:val="ListParagraph"/>
        <w:numPr>
          <w:ilvl w:val="0"/>
          <w:numId w:val="1"/>
        </w:numPr>
        <w:tabs>
          <w:tab w:pos="1470" w:val="left" w:leader="none"/>
        </w:tabs>
        <w:spacing w:line="480" w:lineRule="auto" w:before="0" w:after="0"/>
        <w:ind w:left="120" w:right="197" w:firstLine="720"/>
        <w:jc w:val="both"/>
        <w:rPr>
          <w:sz w:val="24"/>
        </w:rPr>
      </w:pPr>
      <w:r>
        <w:rPr>
          <w:sz w:val="24"/>
        </w:rPr>
        <w:t>The court erred when it was more concerned on being reversed on appeal than following the standard set in </w:t>
      </w:r>
      <w:r>
        <w:rPr>
          <w:i/>
          <w:sz w:val="24"/>
        </w:rPr>
        <w:t>Todd </w:t>
      </w:r>
      <w:r>
        <w:rPr>
          <w:sz w:val="24"/>
        </w:rPr>
        <w:t>and </w:t>
      </w:r>
      <w:r>
        <w:rPr>
          <w:i/>
          <w:sz w:val="24"/>
        </w:rPr>
        <w:t>Nelson</w:t>
      </w:r>
      <w:r>
        <w:rPr>
          <w:i/>
          <w:color w:val="FF0000"/>
          <w:sz w:val="24"/>
        </w:rPr>
        <w:t>. </w:t>
      </w:r>
      <w:r>
        <w:rPr>
          <w:sz w:val="24"/>
        </w:rPr>
        <w:t>We review a trial court's decision to grant or deny a continuance for an abuse of discretion. </w:t>
      </w:r>
      <w:r>
        <w:rPr>
          <w:i/>
          <w:sz w:val="24"/>
        </w:rPr>
        <w:t>Cherry Creek Sch. Dist. No. 5 v. Voelker, </w:t>
      </w:r>
      <w:r>
        <w:rPr>
          <w:sz w:val="24"/>
        </w:rPr>
        <w:t>859 P.2d 805, 809</w:t>
      </w:r>
      <w:r>
        <w:rPr>
          <w:spacing w:val="24"/>
          <w:sz w:val="24"/>
        </w:rPr>
        <w:t> </w:t>
      </w:r>
      <w:r>
        <w:rPr>
          <w:sz w:val="24"/>
        </w:rPr>
        <w:t>(Colo.</w:t>
      </w:r>
      <w:r>
        <w:rPr>
          <w:spacing w:val="25"/>
          <w:sz w:val="24"/>
        </w:rPr>
        <w:t> </w:t>
      </w:r>
      <w:r>
        <w:rPr>
          <w:sz w:val="24"/>
        </w:rPr>
        <w:t>1993).</w:t>
      </w:r>
      <w:r>
        <w:rPr>
          <w:spacing w:val="25"/>
          <w:sz w:val="24"/>
        </w:rPr>
        <w:t> </w:t>
      </w:r>
      <w:r>
        <w:rPr>
          <w:sz w:val="24"/>
        </w:rPr>
        <w:t>Trial</w:t>
      </w:r>
      <w:r>
        <w:rPr>
          <w:spacing w:val="23"/>
          <w:sz w:val="24"/>
        </w:rPr>
        <w:t> </w:t>
      </w:r>
      <w:r>
        <w:rPr>
          <w:sz w:val="24"/>
        </w:rPr>
        <w:t>continuances</w:t>
      </w:r>
      <w:r>
        <w:rPr>
          <w:spacing w:val="25"/>
          <w:sz w:val="24"/>
        </w:rPr>
        <w:t> </w:t>
      </w:r>
      <w:r>
        <w:rPr>
          <w:sz w:val="24"/>
        </w:rPr>
        <w:t>"should</w:t>
      </w:r>
      <w:r>
        <w:rPr>
          <w:spacing w:val="24"/>
          <w:sz w:val="24"/>
        </w:rPr>
        <w:t> </w:t>
      </w:r>
      <w:r>
        <w:rPr>
          <w:sz w:val="24"/>
        </w:rPr>
        <w:t>be</w:t>
      </w:r>
      <w:r>
        <w:rPr>
          <w:spacing w:val="24"/>
          <w:sz w:val="24"/>
        </w:rPr>
        <w:t> </w:t>
      </w:r>
      <w:r>
        <w:rPr>
          <w:sz w:val="24"/>
        </w:rPr>
        <w:t>limited</w:t>
      </w:r>
      <w:r>
        <w:rPr>
          <w:spacing w:val="25"/>
          <w:sz w:val="24"/>
        </w:rPr>
        <w:t> </w:t>
      </w:r>
      <w:r>
        <w:rPr>
          <w:sz w:val="24"/>
        </w:rPr>
        <w:t>to</w:t>
      </w:r>
      <w:r>
        <w:rPr>
          <w:spacing w:val="25"/>
          <w:sz w:val="24"/>
        </w:rPr>
        <w:t> </w:t>
      </w:r>
      <w:r>
        <w:rPr>
          <w:sz w:val="24"/>
        </w:rPr>
        <w:t>circumstances</w:t>
      </w:r>
      <w:r>
        <w:rPr>
          <w:spacing w:val="24"/>
          <w:sz w:val="24"/>
        </w:rPr>
        <w:t> </w:t>
      </w:r>
      <w:r>
        <w:rPr>
          <w:sz w:val="24"/>
        </w:rPr>
        <w:t>in</w:t>
      </w:r>
      <w:r>
        <w:rPr>
          <w:spacing w:val="25"/>
          <w:sz w:val="24"/>
        </w:rPr>
        <w:t> </w:t>
      </w:r>
      <w:r>
        <w:rPr>
          <w:sz w:val="24"/>
        </w:rPr>
        <w:t>which</w:t>
      </w:r>
      <w:r>
        <w:rPr>
          <w:spacing w:val="25"/>
          <w:sz w:val="24"/>
        </w:rPr>
        <w:t> </w:t>
      </w:r>
      <w:r>
        <w:rPr>
          <w:sz w:val="24"/>
          <w:u w:val="single"/>
        </w:rPr>
        <w:t>unforeseen</w:t>
      </w:r>
    </w:p>
    <w:p>
      <w:pPr>
        <w:pStyle w:val="BodyText"/>
      </w:pPr>
      <w:r>
        <w:rPr>
          <w:u w:val="single"/>
        </w:rPr>
        <w:t>and exceptional circumstances</w:t>
      </w:r>
      <w:r>
        <w:rPr/>
        <w:t> require diligent attorneys to request an adjournment." </w:t>
      </w:r>
      <w:r>
        <w:rPr>
          <w:i/>
        </w:rPr>
        <w:t>Todd</w:t>
      </w:r>
      <w:r>
        <w:rPr/>
        <w:t>, 980</w:t>
      </w:r>
    </w:p>
    <w:p>
      <w:pPr>
        <w:pStyle w:val="BodyText"/>
        <w:spacing w:before="2"/>
        <w:ind w:left="0"/>
        <w:rPr>
          <w:sz w:val="16"/>
        </w:rPr>
      </w:pPr>
    </w:p>
    <w:p>
      <w:pPr>
        <w:pStyle w:val="BodyText"/>
        <w:spacing w:line="480" w:lineRule="auto" w:before="90"/>
        <w:ind w:right="198"/>
        <w:jc w:val="both"/>
      </w:pPr>
      <w:r>
        <w:rPr/>
        <w:t>P.2d at 976. In </w:t>
      </w:r>
      <w:r>
        <w:rPr>
          <w:i/>
        </w:rPr>
        <w:t>Todd, </w:t>
      </w:r>
      <w:r>
        <w:rPr/>
        <w:t>the exceptional circumstance was plaintiff’s counsel needed emergency back surgery. Here, Boyce admits to malpractice, which on its face does not meet the </w:t>
      </w:r>
      <w:r>
        <w:rPr>
          <w:i/>
        </w:rPr>
        <w:t>Todd </w:t>
      </w:r>
      <w:r>
        <w:rPr/>
        <w:t>elements.</w:t>
      </w:r>
    </w:p>
    <w:p>
      <w:pPr>
        <w:pStyle w:val="ListParagraph"/>
        <w:numPr>
          <w:ilvl w:val="0"/>
          <w:numId w:val="1"/>
        </w:numPr>
        <w:tabs>
          <w:tab w:pos="1470" w:val="left" w:leader="none"/>
        </w:tabs>
        <w:spacing w:line="480" w:lineRule="auto" w:before="0" w:after="0"/>
        <w:ind w:left="120" w:right="196" w:firstLine="720"/>
        <w:jc w:val="both"/>
        <w:rPr>
          <w:sz w:val="24"/>
        </w:rPr>
      </w:pPr>
      <w:r>
        <w:rPr>
          <w:sz w:val="24"/>
        </w:rPr>
        <w:t>In </w:t>
      </w:r>
      <w:r>
        <w:rPr>
          <w:i/>
          <w:sz w:val="24"/>
        </w:rPr>
        <w:t>Kallas v. Spinozzi</w:t>
      </w:r>
      <w:r>
        <w:rPr>
          <w:sz w:val="24"/>
        </w:rPr>
        <w:t>, a case nearly identical to this case as to attorney preparation, the court denied Kallas’ motion reasoning, “the burden is upon the plaintiff to prosecute a case in due course without unusual or unreasonable delay.” Citing to </w:t>
      </w:r>
      <w:r>
        <w:rPr>
          <w:i/>
          <w:sz w:val="24"/>
        </w:rPr>
        <w:t>Lake Meredith Reservoir Co. v. </w:t>
      </w:r>
      <w:r>
        <w:rPr>
          <w:i/>
          <w:sz w:val="24"/>
        </w:rPr>
        <w:t>Amity Mut. Irrigation Co</w:t>
      </w:r>
      <w:r>
        <w:rPr>
          <w:sz w:val="24"/>
        </w:rPr>
        <w:t>., 698 P.2d 1340, 1344 (Colo. 1985). Specifically, “[Plaintiff has] done absolutely nothing to prepare this trial…. I understand and I appreciate [counsel's] health condition, but that does not relieve this Court of its obligations under Rule 1 to secure a just, speedy, and inexpensive determination of every action. This case has another Party to it, that is the Defendant, who is a professional, and he's had to live with [this] case now for over two and</w:t>
      </w:r>
      <w:r>
        <w:rPr>
          <w:spacing w:val="46"/>
          <w:sz w:val="24"/>
        </w:rPr>
        <w:t> </w:t>
      </w:r>
      <w:r>
        <w:rPr>
          <w:sz w:val="24"/>
        </w:rPr>
        <w:t>a</w:t>
      </w:r>
    </w:p>
    <w:p>
      <w:pPr>
        <w:spacing w:after="0" w:line="480" w:lineRule="auto"/>
        <w:jc w:val="both"/>
        <w:rPr>
          <w:sz w:val="24"/>
        </w:rPr>
        <w:sectPr>
          <w:pgSz w:w="12240" w:h="15840"/>
          <w:pgMar w:header="0" w:footer="1065" w:top="1360" w:bottom="1260" w:left="1320" w:right="1240"/>
        </w:sectPr>
      </w:pPr>
    </w:p>
    <w:p>
      <w:pPr>
        <w:pStyle w:val="BodyText"/>
        <w:spacing w:line="480" w:lineRule="auto" w:before="76"/>
        <w:ind w:right="197"/>
        <w:jc w:val="both"/>
      </w:pPr>
      <w:r>
        <w:rPr/>
        <w:t>half years. I'm not in a position today to grant a continuance because of the Plaintiff Counsel's medical condition. He could have easily brought in other Counsel to represent the Plaintiff in this case, and for whatever reason chose not to. We find ourselves here today with the Plaintiff not prepared to proceed to trial.” </w:t>
      </w:r>
      <w:r>
        <w:rPr>
          <w:i/>
        </w:rPr>
        <w:t>Kallas v. Spinozzi</w:t>
      </w:r>
      <w:r>
        <w:rPr/>
        <w:t>, 2014 COA 164, at 51. We conclude the trial court did not abuse its discretion in dismissing Kallas's claims for failure to prosecute</w:t>
      </w:r>
      <w:r>
        <w:rPr>
          <w:i/>
        </w:rPr>
        <w:t>. Id. </w:t>
      </w:r>
      <w:r>
        <w:rPr/>
        <w:t>Here, plaintiffs do not request dismissal of defendant’s claims or case, just to proceed on the evidence they each had on the date of trial, as that is what plaintiffs were prepared to defend.</w:t>
      </w:r>
    </w:p>
    <w:p>
      <w:pPr>
        <w:pStyle w:val="ListParagraph"/>
        <w:numPr>
          <w:ilvl w:val="0"/>
          <w:numId w:val="1"/>
        </w:numPr>
        <w:tabs>
          <w:tab w:pos="1470" w:val="left" w:leader="none"/>
        </w:tabs>
        <w:spacing w:line="480" w:lineRule="auto" w:before="1" w:after="0"/>
        <w:ind w:left="120" w:right="196" w:firstLine="720"/>
        <w:jc w:val="both"/>
        <w:rPr>
          <w:sz w:val="24"/>
        </w:rPr>
      </w:pPr>
      <w:r>
        <w:rPr>
          <w:sz w:val="24"/>
        </w:rPr>
        <w:t>Defendant’s counsel failed to disclose expert testimony. The disclosure of expert witness testimony is governed by C.R.C.P. 26(a)(2). The timing and sequence of expert witness disclosure shall proceed according to the provisions of the case management order. See C.R.C.P. 26(a)(2)(C). Thus, regardless of the continuance, endorsement of expert witnesses by this date would presumptively violate the deadline set by the case management order and thereby violate Rule 26(a)(2). </w:t>
      </w:r>
      <w:r>
        <w:rPr>
          <w:i/>
          <w:sz w:val="24"/>
        </w:rPr>
        <w:t>Todd </w:t>
      </w:r>
      <w:r>
        <w:rPr>
          <w:sz w:val="24"/>
        </w:rPr>
        <w:t>at</w:t>
      </w:r>
      <w:r>
        <w:rPr>
          <w:spacing w:val="-1"/>
          <w:sz w:val="24"/>
        </w:rPr>
        <w:t> </w:t>
      </w:r>
      <w:r>
        <w:rPr>
          <w:sz w:val="24"/>
        </w:rPr>
        <w:t>977.</w:t>
      </w:r>
    </w:p>
    <w:p>
      <w:pPr>
        <w:pStyle w:val="ListParagraph"/>
        <w:numPr>
          <w:ilvl w:val="0"/>
          <w:numId w:val="1"/>
        </w:numPr>
        <w:tabs>
          <w:tab w:pos="1470" w:val="left" w:leader="none"/>
        </w:tabs>
        <w:spacing w:line="480" w:lineRule="auto" w:before="0" w:after="0"/>
        <w:ind w:left="120" w:right="196" w:firstLine="720"/>
        <w:jc w:val="both"/>
        <w:rPr>
          <w:sz w:val="24"/>
        </w:rPr>
      </w:pPr>
      <w:r>
        <w:rPr>
          <w:sz w:val="24"/>
        </w:rPr>
        <w:t>Whether or not Mike Boyce, to save money in litigation, intentionally failed to disclose an expert or did so negligently is irrelevant. 37(c) Failure to Disclose; False or Misleading Disclosure; Refusal to Admit. (1) A party that </w:t>
      </w:r>
      <w:r>
        <w:rPr>
          <w:sz w:val="24"/>
          <w:u w:val="single"/>
        </w:rPr>
        <w:t>without substantial justification</w:t>
      </w:r>
      <w:r>
        <w:rPr>
          <w:sz w:val="24"/>
        </w:rPr>
        <w:t> fails</w:t>
      </w:r>
      <w:r>
        <w:rPr>
          <w:spacing w:val="-23"/>
          <w:sz w:val="24"/>
        </w:rPr>
        <w:t> </w:t>
      </w:r>
      <w:r>
        <w:rPr>
          <w:sz w:val="24"/>
        </w:rPr>
        <w:t>to</w:t>
      </w:r>
    </w:p>
    <w:p>
      <w:pPr>
        <w:pStyle w:val="BodyText"/>
        <w:spacing w:line="480" w:lineRule="auto"/>
        <w:ind w:right="197"/>
        <w:jc w:val="both"/>
      </w:pPr>
      <w:r>
        <w:rPr/>
        <w:t>disclose information required by C.R.C.P. Rules 26(a) or 26(e) shall not, unless such failure is harmless, be permitted to present any evidence not so disclosed at trial. The trial court must be careful not to reward a party who fails to make timely disclosures by granting a continuance, since this practice invites abuse. </w:t>
      </w:r>
      <w:r>
        <w:rPr>
          <w:i/>
        </w:rPr>
        <w:t>See Sullivan v. Glock, Inc</w:t>
      </w:r>
      <w:r>
        <w:rPr/>
        <w:t>. 175 F.R.D. 497, 508 (D.M.D. 1997).</w:t>
      </w:r>
    </w:p>
    <w:p>
      <w:pPr>
        <w:pStyle w:val="ListParagraph"/>
        <w:numPr>
          <w:ilvl w:val="0"/>
          <w:numId w:val="1"/>
        </w:numPr>
        <w:tabs>
          <w:tab w:pos="1470" w:val="left" w:leader="none"/>
        </w:tabs>
        <w:spacing w:line="480" w:lineRule="auto" w:before="0" w:after="0"/>
        <w:ind w:left="120" w:right="197" w:firstLine="720"/>
        <w:jc w:val="both"/>
        <w:rPr>
          <w:sz w:val="24"/>
        </w:rPr>
      </w:pPr>
      <w:r>
        <w:rPr>
          <w:sz w:val="24"/>
        </w:rPr>
        <w:t>The burden is on the non-disclosing party to establish that its failure to disclose was either substantially justified or harmless. </w:t>
      </w:r>
      <w:r>
        <w:rPr>
          <w:i/>
          <w:sz w:val="24"/>
        </w:rPr>
        <w:t>Todd </w:t>
      </w:r>
      <w:r>
        <w:rPr>
          <w:sz w:val="24"/>
        </w:rPr>
        <w:t>at 978</w:t>
      </w:r>
      <w:r>
        <w:rPr>
          <w:i/>
          <w:sz w:val="24"/>
        </w:rPr>
        <w:t>. </w:t>
      </w:r>
      <w:r>
        <w:rPr>
          <w:sz w:val="24"/>
        </w:rPr>
        <w:t>Because it bears this burden, however, "the</w:t>
      </w:r>
      <w:r>
        <w:rPr>
          <w:spacing w:val="11"/>
          <w:sz w:val="24"/>
        </w:rPr>
        <w:t> </w:t>
      </w:r>
      <w:r>
        <w:rPr>
          <w:sz w:val="24"/>
        </w:rPr>
        <w:t>party</w:t>
      </w:r>
      <w:r>
        <w:rPr>
          <w:spacing w:val="11"/>
          <w:sz w:val="24"/>
        </w:rPr>
        <w:t> </w:t>
      </w:r>
      <w:r>
        <w:rPr>
          <w:sz w:val="24"/>
        </w:rPr>
        <w:t>who</w:t>
      </w:r>
      <w:r>
        <w:rPr>
          <w:spacing w:val="11"/>
          <w:sz w:val="24"/>
        </w:rPr>
        <w:t> </w:t>
      </w:r>
      <w:r>
        <w:rPr>
          <w:sz w:val="24"/>
        </w:rPr>
        <w:t>would</w:t>
      </w:r>
      <w:r>
        <w:rPr>
          <w:spacing w:val="11"/>
          <w:sz w:val="24"/>
        </w:rPr>
        <w:t> </w:t>
      </w:r>
      <w:r>
        <w:rPr>
          <w:sz w:val="24"/>
        </w:rPr>
        <w:t>suffer</w:t>
      </w:r>
      <w:r>
        <w:rPr>
          <w:spacing w:val="11"/>
          <w:sz w:val="24"/>
        </w:rPr>
        <w:t> </w:t>
      </w:r>
      <w:r>
        <w:rPr>
          <w:sz w:val="24"/>
        </w:rPr>
        <w:t>[this]</w:t>
      </w:r>
      <w:r>
        <w:rPr>
          <w:spacing w:val="10"/>
          <w:sz w:val="24"/>
        </w:rPr>
        <w:t> </w:t>
      </w:r>
      <w:r>
        <w:rPr>
          <w:sz w:val="24"/>
        </w:rPr>
        <w:t>sanction</w:t>
      </w:r>
      <w:r>
        <w:rPr>
          <w:spacing w:val="11"/>
          <w:sz w:val="24"/>
        </w:rPr>
        <w:t> </w:t>
      </w:r>
      <w:r>
        <w:rPr>
          <w:sz w:val="24"/>
        </w:rPr>
        <w:t>must</w:t>
      </w:r>
      <w:r>
        <w:rPr>
          <w:spacing w:val="11"/>
          <w:sz w:val="24"/>
        </w:rPr>
        <w:t> </w:t>
      </w:r>
      <w:r>
        <w:rPr>
          <w:sz w:val="24"/>
        </w:rPr>
        <w:t>be</w:t>
      </w:r>
      <w:r>
        <w:rPr>
          <w:spacing w:val="11"/>
          <w:sz w:val="24"/>
        </w:rPr>
        <w:t> </w:t>
      </w:r>
      <w:r>
        <w:rPr>
          <w:sz w:val="24"/>
        </w:rPr>
        <w:t>given</w:t>
      </w:r>
      <w:r>
        <w:rPr>
          <w:spacing w:val="11"/>
          <w:sz w:val="24"/>
        </w:rPr>
        <w:t> </w:t>
      </w:r>
      <w:r>
        <w:rPr>
          <w:sz w:val="24"/>
        </w:rPr>
        <w:t>an</w:t>
      </w:r>
      <w:r>
        <w:rPr>
          <w:spacing w:val="8"/>
          <w:sz w:val="24"/>
        </w:rPr>
        <w:t> </w:t>
      </w:r>
      <w:r>
        <w:rPr>
          <w:sz w:val="24"/>
        </w:rPr>
        <w:t>opportunity</w:t>
      </w:r>
      <w:r>
        <w:rPr>
          <w:spacing w:val="9"/>
          <w:sz w:val="24"/>
        </w:rPr>
        <w:t> </w:t>
      </w:r>
      <w:r>
        <w:rPr>
          <w:sz w:val="24"/>
        </w:rPr>
        <w:t>to</w:t>
      </w:r>
      <w:r>
        <w:rPr>
          <w:spacing w:val="11"/>
          <w:sz w:val="24"/>
        </w:rPr>
        <w:t> </w:t>
      </w:r>
      <w:r>
        <w:rPr>
          <w:sz w:val="24"/>
        </w:rPr>
        <w:t>demonstrate</w:t>
      </w:r>
      <w:r>
        <w:rPr>
          <w:spacing w:val="10"/>
          <w:sz w:val="24"/>
        </w:rPr>
        <w:t> </w:t>
      </w:r>
      <w:r>
        <w:rPr>
          <w:sz w:val="24"/>
        </w:rPr>
        <w:t>that</w:t>
      </w:r>
      <w:r>
        <w:rPr>
          <w:spacing w:val="10"/>
          <w:sz w:val="24"/>
        </w:rPr>
        <w:t> </w:t>
      </w:r>
      <w:r>
        <w:rPr>
          <w:sz w:val="24"/>
        </w:rPr>
        <w:t>its</w:t>
      </w:r>
    </w:p>
    <w:p>
      <w:pPr>
        <w:spacing w:after="0" w:line="480" w:lineRule="auto"/>
        <w:jc w:val="both"/>
        <w:rPr>
          <w:sz w:val="24"/>
        </w:rPr>
        <w:sectPr>
          <w:pgSz w:w="12240" w:h="15840"/>
          <w:pgMar w:header="0" w:footer="1065" w:top="1360" w:bottom="1260" w:left="1320" w:right="1240"/>
        </w:sectPr>
      </w:pPr>
    </w:p>
    <w:p>
      <w:pPr>
        <w:pStyle w:val="BodyText"/>
        <w:spacing w:line="480" w:lineRule="auto" w:before="76"/>
        <w:ind w:left="119" w:right="196"/>
        <w:jc w:val="both"/>
      </w:pPr>
      <w:r>
        <w:rPr/>
        <w:t>failure to disclose was substantially justified or harmless." Moore's Federal Practice § 37.60 (2)(a), at 37-118. A trial court has considerable discretion with respect to these factors. </w:t>
      </w:r>
      <w:r>
        <w:rPr>
          <w:i/>
        </w:rPr>
        <w:t>Id. </w:t>
      </w:r>
      <w:r>
        <w:rPr/>
        <w:t>The record is clear, Mr. Boyce states his basis for non-disclosure of the shoulder injury and future damages thereto, resulted from ineffective assistance of counsel. In </w:t>
      </w:r>
      <w:r>
        <w:rPr>
          <w:i/>
        </w:rPr>
        <w:t>Todd </w:t>
      </w:r>
      <w:r>
        <w:rPr/>
        <w:t>this is not a basis for a continuance. The basis in </w:t>
      </w:r>
      <w:r>
        <w:rPr>
          <w:i/>
        </w:rPr>
        <w:t>Todd </w:t>
      </w:r>
      <w:r>
        <w:rPr/>
        <w:t>is substantially justified or harmless.  In </w:t>
      </w:r>
      <w:r>
        <w:rPr>
          <w:i/>
        </w:rPr>
        <w:t>Todd </w:t>
      </w:r>
      <w:r>
        <w:rPr/>
        <w:t>the court allowed  a</w:t>
      </w:r>
      <w:r>
        <w:rPr>
          <w:spacing w:val="15"/>
        </w:rPr>
        <w:t> </w:t>
      </w:r>
      <w:r>
        <w:rPr/>
        <w:t>continuance</w:t>
      </w:r>
      <w:r>
        <w:rPr>
          <w:spacing w:val="16"/>
        </w:rPr>
        <w:t> </w:t>
      </w:r>
      <w:r>
        <w:rPr/>
        <w:t>because</w:t>
      </w:r>
      <w:r>
        <w:rPr>
          <w:spacing w:val="14"/>
        </w:rPr>
        <w:t> </w:t>
      </w:r>
      <w:r>
        <w:rPr/>
        <w:t>plaintiff’s</w:t>
      </w:r>
      <w:r>
        <w:rPr>
          <w:spacing w:val="16"/>
        </w:rPr>
        <w:t> </w:t>
      </w:r>
      <w:r>
        <w:rPr/>
        <w:t>counsel</w:t>
      </w:r>
      <w:r>
        <w:rPr>
          <w:spacing w:val="15"/>
        </w:rPr>
        <w:t> </w:t>
      </w:r>
      <w:r>
        <w:rPr/>
        <w:t>had</w:t>
      </w:r>
      <w:r>
        <w:rPr>
          <w:spacing w:val="13"/>
        </w:rPr>
        <w:t> </w:t>
      </w:r>
      <w:r>
        <w:rPr/>
        <w:t>an</w:t>
      </w:r>
      <w:r>
        <w:rPr>
          <w:spacing w:val="15"/>
        </w:rPr>
        <w:t> </w:t>
      </w:r>
      <w:r>
        <w:rPr/>
        <w:t>unexpected</w:t>
      </w:r>
      <w:r>
        <w:rPr>
          <w:spacing w:val="15"/>
        </w:rPr>
        <w:t> </w:t>
      </w:r>
      <w:r>
        <w:rPr/>
        <w:t>back</w:t>
      </w:r>
      <w:r>
        <w:rPr>
          <w:spacing w:val="14"/>
        </w:rPr>
        <w:t> </w:t>
      </w:r>
      <w:r>
        <w:rPr/>
        <w:t>injury,</w:t>
      </w:r>
      <w:r>
        <w:rPr>
          <w:spacing w:val="15"/>
        </w:rPr>
        <w:t> </w:t>
      </w:r>
      <w:r>
        <w:rPr>
          <w:u w:val="single"/>
        </w:rPr>
        <w:t>not</w:t>
      </w:r>
      <w:r>
        <w:rPr>
          <w:spacing w:val="15"/>
          <w:u w:val="single"/>
        </w:rPr>
        <w:t> </w:t>
      </w:r>
      <w:r>
        <w:rPr>
          <w:u w:val="single"/>
        </w:rPr>
        <w:t>IAC,</w:t>
      </w:r>
      <w:r>
        <w:rPr>
          <w:spacing w:val="16"/>
        </w:rPr>
        <w:t> </w:t>
      </w:r>
      <w:r>
        <w:rPr/>
        <w:t>which</w:t>
      </w:r>
      <w:r>
        <w:rPr>
          <w:spacing w:val="15"/>
        </w:rPr>
        <w:t> </w:t>
      </w:r>
      <w:r>
        <w:rPr/>
        <w:t>by</w:t>
      </w:r>
      <w:r>
        <w:rPr>
          <w:spacing w:val="14"/>
        </w:rPr>
        <w:t> </w:t>
      </w:r>
      <w:r>
        <w:rPr/>
        <w:t>its</w:t>
      </w:r>
    </w:p>
    <w:p>
      <w:pPr>
        <w:pStyle w:val="BodyText"/>
        <w:spacing w:before="1"/>
        <w:rPr>
          <w:i/>
        </w:rPr>
      </w:pPr>
      <w:r>
        <w:rPr/>
        <w:t>nature would not be a basis for a continuance in </w:t>
      </w:r>
      <w:r>
        <w:rPr>
          <w:i/>
        </w:rPr>
        <w:t>Todd.</w:t>
      </w:r>
    </w:p>
    <w:p>
      <w:pPr>
        <w:pStyle w:val="BodyText"/>
        <w:spacing w:before="2"/>
        <w:ind w:left="0"/>
        <w:rPr>
          <w:i/>
        </w:rPr>
      </w:pPr>
    </w:p>
    <w:p>
      <w:pPr>
        <w:pStyle w:val="Heading1"/>
        <w:rPr>
          <w:u w:val="none"/>
        </w:rPr>
      </w:pPr>
      <w:r>
        <w:rPr>
          <w:u w:val="thick"/>
        </w:rPr>
        <w:t>CONCLUSION</w:t>
      </w:r>
    </w:p>
    <w:p>
      <w:pPr>
        <w:pStyle w:val="BodyText"/>
        <w:ind w:left="0"/>
        <w:rPr>
          <w:b/>
          <w:sz w:val="16"/>
        </w:rPr>
      </w:pPr>
    </w:p>
    <w:p>
      <w:pPr>
        <w:pStyle w:val="BodyText"/>
        <w:spacing w:line="480" w:lineRule="auto" w:before="90"/>
        <w:ind w:left="119" w:right="196" w:firstLine="720"/>
        <w:jc w:val="both"/>
      </w:pPr>
      <w:r>
        <w:rPr/>
        <w:t>The court erred in granting a continuance to defendant and allowing new evidence of future shoulder injury damages. Rule 60(b) allows the court to reconsider its orders upon new evidence, information or findings. Early on in the litigation, Mike Boyce disclosed a medical record showing a doctor’s visit regarding a back and shoulder injury. Therefore, Boyce knew about this medical condition in May of 2015. For whatever reason, intentionally to save money or attorney negligence, neither reason is a basis for continuance and the allowance of new evidence thereto at trial. The court erred in continuing the trial without defendant filing a Rule 60(b) motion to modify the parties’ CMO, which was an order of the court. The court further erred when it considered being reversed on appeal for ineffective assistance of counsel, which is not a basis for appeal or new trial. The court erred when it used IAC, for the benefit of Mike Boyce and defendant to continue the trial because Mr. Boyce’s admissions of attorney malpractice give the defendant full relief against his attorney, as an adequate remedy at law. The court prejudiced plaintiffs through the unwarranted continuance because plaintiffs will have to spend excessive amounts of money now conducting discovery, defending against motions and defending</w:t>
      </w:r>
      <w:r>
        <w:rPr>
          <w:spacing w:val="9"/>
        </w:rPr>
        <w:t> </w:t>
      </w:r>
      <w:r>
        <w:rPr/>
        <w:t>against</w:t>
      </w:r>
      <w:r>
        <w:rPr>
          <w:spacing w:val="9"/>
        </w:rPr>
        <w:t> </w:t>
      </w:r>
      <w:r>
        <w:rPr/>
        <w:t>damages</w:t>
      </w:r>
      <w:r>
        <w:rPr>
          <w:spacing w:val="10"/>
        </w:rPr>
        <w:t> </w:t>
      </w:r>
      <w:r>
        <w:rPr/>
        <w:t>that</w:t>
      </w:r>
      <w:r>
        <w:rPr>
          <w:spacing w:val="10"/>
        </w:rPr>
        <w:t> </w:t>
      </w:r>
      <w:r>
        <w:rPr/>
        <w:t>were</w:t>
      </w:r>
      <w:r>
        <w:rPr>
          <w:spacing w:val="10"/>
        </w:rPr>
        <w:t> </w:t>
      </w:r>
      <w:r>
        <w:rPr/>
        <w:t>not</w:t>
      </w:r>
      <w:r>
        <w:rPr>
          <w:spacing w:val="10"/>
        </w:rPr>
        <w:t> </w:t>
      </w:r>
      <w:r>
        <w:rPr/>
        <w:t>occurring</w:t>
      </w:r>
      <w:r>
        <w:rPr>
          <w:spacing w:val="9"/>
        </w:rPr>
        <w:t> </w:t>
      </w:r>
      <w:r>
        <w:rPr/>
        <w:t>as</w:t>
      </w:r>
      <w:r>
        <w:rPr>
          <w:spacing w:val="10"/>
        </w:rPr>
        <w:t> </w:t>
      </w:r>
      <w:r>
        <w:rPr/>
        <w:t>of</w:t>
      </w:r>
      <w:r>
        <w:rPr>
          <w:spacing w:val="10"/>
        </w:rPr>
        <w:t> </w:t>
      </w:r>
      <w:r>
        <w:rPr/>
        <w:t>the</w:t>
      </w:r>
      <w:r>
        <w:rPr>
          <w:spacing w:val="8"/>
        </w:rPr>
        <w:t> </w:t>
      </w:r>
      <w:r>
        <w:rPr/>
        <w:t>trial</w:t>
      </w:r>
      <w:r>
        <w:rPr>
          <w:spacing w:val="10"/>
        </w:rPr>
        <w:t> </w:t>
      </w:r>
      <w:r>
        <w:rPr/>
        <w:t>date</w:t>
      </w:r>
      <w:r>
        <w:rPr>
          <w:spacing w:val="8"/>
        </w:rPr>
        <w:t> </w:t>
      </w:r>
      <w:r>
        <w:rPr/>
        <w:t>set</w:t>
      </w:r>
      <w:r>
        <w:rPr>
          <w:spacing w:val="10"/>
        </w:rPr>
        <w:t> </w:t>
      </w:r>
      <w:r>
        <w:rPr/>
        <w:t>for</w:t>
      </w:r>
      <w:r>
        <w:rPr>
          <w:spacing w:val="10"/>
        </w:rPr>
        <w:t> </w:t>
      </w:r>
      <w:r>
        <w:rPr/>
        <w:t>May</w:t>
      </w:r>
      <w:r>
        <w:rPr>
          <w:spacing w:val="9"/>
        </w:rPr>
        <w:t> </w:t>
      </w:r>
      <w:r>
        <w:rPr/>
        <w:t>2,</w:t>
      </w:r>
      <w:r>
        <w:rPr>
          <w:spacing w:val="8"/>
        </w:rPr>
        <w:t> </w:t>
      </w:r>
      <w:r>
        <w:rPr/>
        <w:t>2016.</w:t>
      </w:r>
      <w:r>
        <w:rPr>
          <w:spacing w:val="20"/>
        </w:rPr>
        <w:t> </w:t>
      </w:r>
      <w:r>
        <w:rPr/>
        <w:t>The</w:t>
      </w:r>
    </w:p>
    <w:p>
      <w:pPr>
        <w:spacing w:after="0" w:line="480" w:lineRule="auto"/>
        <w:jc w:val="both"/>
        <w:sectPr>
          <w:pgSz w:w="12240" w:h="15840"/>
          <w:pgMar w:header="0" w:footer="1065" w:top="1360" w:bottom="1260" w:left="1320" w:right="1240"/>
        </w:sectPr>
      </w:pPr>
    </w:p>
    <w:p>
      <w:pPr>
        <w:pStyle w:val="BodyText"/>
        <w:spacing w:line="480" w:lineRule="auto" w:before="76"/>
        <w:ind w:left="119" w:right="184"/>
        <w:rPr>
          <w:i/>
        </w:rPr>
      </w:pPr>
      <w:r>
        <w:rPr/>
        <w:t>court abused its authority when it granted a continuance because Mike Boyce’s failure to practice law does not satisfy the exceptional circumstances defined in </w:t>
      </w:r>
      <w:r>
        <w:rPr>
          <w:i/>
        </w:rPr>
        <w:t>Todd v. Bear Valley.</w:t>
      </w:r>
    </w:p>
    <w:p>
      <w:pPr>
        <w:pStyle w:val="BodyText"/>
        <w:spacing w:line="480" w:lineRule="auto" w:before="1"/>
        <w:ind w:left="119" w:right="198" w:firstLine="720"/>
        <w:jc w:val="both"/>
      </w:pPr>
      <w:r>
        <w:rPr/>
        <w:t>WHEREFORE, Plaintiffs respectfully request this Court reconsider its order granting a new trial that would allow defendant to put on additional damages and/or future damages of any sort, not previously disclosed, and have the parties try the case on only the evidence disclosed and developed in preparation of the prior May 2, 2016 original court</w:t>
      </w:r>
      <w:r>
        <w:rPr>
          <w:spacing w:val="-7"/>
        </w:rPr>
        <w:t> </w:t>
      </w:r>
      <w:r>
        <w:rPr/>
        <w:t>date.</w:t>
      </w:r>
    </w:p>
    <w:p>
      <w:pPr>
        <w:pStyle w:val="BodyText"/>
        <w:ind w:left="839"/>
      </w:pPr>
      <w:r>
        <w:rPr/>
        <w:t>RESPECTFULLY SUBMITTED this 7</w:t>
      </w:r>
      <w:r>
        <w:rPr>
          <w:vertAlign w:val="superscript"/>
        </w:rPr>
        <w:t>th</w:t>
      </w:r>
      <w:r>
        <w:rPr>
          <w:vertAlign w:val="baseline"/>
        </w:rPr>
        <w:t> day of September,</w:t>
      </w:r>
      <w:r>
        <w:rPr>
          <w:spacing w:val="-24"/>
          <w:vertAlign w:val="baseline"/>
        </w:rPr>
        <w:t> </w:t>
      </w:r>
      <w:r>
        <w:rPr>
          <w:vertAlign w:val="baseline"/>
        </w:rPr>
        <w:t>2016.</w:t>
      </w:r>
    </w:p>
    <w:p>
      <w:pPr>
        <w:pStyle w:val="BodyText"/>
        <w:ind w:left="0"/>
        <w:rPr>
          <w:sz w:val="30"/>
        </w:rPr>
      </w:pPr>
    </w:p>
    <w:p>
      <w:pPr>
        <w:pStyle w:val="BodyText"/>
        <w:ind w:left="0"/>
        <w:rPr>
          <w:sz w:val="42"/>
        </w:rPr>
      </w:pPr>
    </w:p>
    <w:p>
      <w:pPr>
        <w:pStyle w:val="BodyText"/>
        <w:ind w:left="5160"/>
      </w:pPr>
      <w:r>
        <w:rPr/>
        <w:t>ABRAMS &amp; ASSOCIATES, LLC</w:t>
      </w:r>
    </w:p>
    <w:p>
      <w:pPr>
        <w:pStyle w:val="BodyText"/>
        <w:spacing w:before="1"/>
        <w:ind w:left="0"/>
      </w:pPr>
    </w:p>
    <w:p>
      <w:pPr>
        <w:tabs>
          <w:tab w:pos="8759" w:val="left" w:leader="none"/>
        </w:tabs>
        <w:spacing w:line="275" w:lineRule="exact" w:before="0"/>
        <w:ind w:left="5160" w:right="0" w:firstLine="0"/>
        <w:jc w:val="left"/>
        <w:rPr>
          <w:i/>
          <w:sz w:val="24"/>
        </w:rPr>
      </w:pPr>
      <w:r>
        <w:rPr>
          <w:i/>
          <w:sz w:val="24"/>
          <w:u w:val="single"/>
        </w:rPr>
        <w:t>/s/ Robert</w:t>
      </w:r>
      <w:r>
        <w:rPr>
          <w:i/>
          <w:spacing w:val="-6"/>
          <w:sz w:val="24"/>
          <w:u w:val="single"/>
        </w:rPr>
        <w:t> </w:t>
      </w:r>
      <w:r>
        <w:rPr>
          <w:i/>
          <w:sz w:val="24"/>
          <w:u w:val="single"/>
        </w:rPr>
        <w:t>Abrams</w:t>
        <w:tab/>
      </w:r>
    </w:p>
    <w:p>
      <w:pPr>
        <w:pStyle w:val="BodyText"/>
        <w:spacing w:line="275" w:lineRule="exact"/>
        <w:ind w:left="5160"/>
      </w:pPr>
      <w:r>
        <w:rPr/>
        <w:t>Robert Abrams, Attorney at Law</w:t>
      </w:r>
    </w:p>
    <w:p>
      <w:pPr>
        <w:pStyle w:val="BodyText"/>
        <w:spacing w:before="2"/>
        <w:ind w:left="0"/>
      </w:pPr>
    </w:p>
    <w:p>
      <w:pPr>
        <w:spacing w:before="0"/>
        <w:ind w:left="5159" w:right="302" w:firstLine="0"/>
        <w:jc w:val="left"/>
        <w:rPr>
          <w:i/>
          <w:sz w:val="22"/>
        </w:rPr>
      </w:pPr>
      <w:r>
        <w:rPr>
          <w:i/>
          <w:sz w:val="22"/>
        </w:rPr>
        <w:t>(Original signature on file at Abrams &amp; Assoc., </w:t>
      </w:r>
      <w:r>
        <w:rPr>
          <w:i/>
          <w:sz w:val="22"/>
        </w:rPr>
        <w:t>LLC, pursuant to C.R.C.P. 121 § 1-26)</w:t>
      </w:r>
    </w:p>
    <w:p>
      <w:pPr>
        <w:pStyle w:val="BodyText"/>
        <w:ind w:left="0"/>
        <w:rPr>
          <w:i/>
        </w:rPr>
      </w:pPr>
    </w:p>
    <w:p>
      <w:pPr>
        <w:pStyle w:val="BodyText"/>
        <w:ind w:left="0"/>
        <w:rPr>
          <w:i/>
          <w:sz w:val="22"/>
        </w:rPr>
      </w:pPr>
    </w:p>
    <w:p>
      <w:pPr>
        <w:pStyle w:val="Heading1"/>
        <w:ind w:left="3206" w:right="0"/>
        <w:jc w:val="left"/>
        <w:rPr>
          <w:u w:val="none"/>
        </w:rPr>
      </w:pPr>
      <w:r>
        <w:rPr>
          <w:u w:val="thick"/>
        </w:rPr>
        <w:t>CERTIFICATE OF SERVICE</w:t>
      </w:r>
    </w:p>
    <w:p>
      <w:pPr>
        <w:pStyle w:val="BodyText"/>
        <w:spacing w:before="9"/>
        <w:ind w:left="0"/>
        <w:rPr>
          <w:b/>
          <w:sz w:val="23"/>
        </w:rPr>
      </w:pPr>
    </w:p>
    <w:p>
      <w:pPr>
        <w:pStyle w:val="BodyText"/>
        <w:ind w:left="119" w:right="198" w:firstLine="720"/>
        <w:jc w:val="both"/>
      </w:pPr>
      <w:r>
        <w:rPr/>
        <w:t>I HEREBY CERTIFY I have this 7</w:t>
      </w:r>
      <w:r>
        <w:rPr>
          <w:vertAlign w:val="superscript"/>
        </w:rPr>
        <w:t>th</w:t>
      </w:r>
      <w:r>
        <w:rPr>
          <w:vertAlign w:val="baseline"/>
        </w:rPr>
        <w:t> day of September, 2016, via ICCES, served a true and correct and correct copy of the foregoing PLAINTIFFS’ MOTION TO RECONSIDER TRIAL CONTINUATION PURSUANT TO C.R.C.P. 60(b) upon:</w:t>
      </w:r>
    </w:p>
    <w:p>
      <w:pPr>
        <w:pStyle w:val="BodyText"/>
        <w:ind w:left="0"/>
      </w:pPr>
    </w:p>
    <w:p>
      <w:pPr>
        <w:pStyle w:val="BodyText"/>
        <w:ind w:left="138"/>
      </w:pPr>
      <w:r>
        <w:rPr/>
        <w:t>Wadi Muhaisen</w:t>
      </w:r>
    </w:p>
    <w:p>
      <w:pPr>
        <w:pStyle w:val="BodyText"/>
        <w:ind w:left="138" w:right="6555"/>
      </w:pPr>
      <w:r>
        <w:rPr/>
        <w:t>Muhaisen &amp; Muhaisen, LLC 1435 Larimer Street, Suite 203</w:t>
      </w:r>
    </w:p>
    <w:p>
      <w:pPr>
        <w:pStyle w:val="BodyText"/>
        <w:ind w:left="138"/>
      </w:pPr>
      <w:r>
        <w:rPr/>
        <w:t>Denver, Colorado 80202</w:t>
      </w:r>
    </w:p>
    <w:p>
      <w:pPr>
        <w:spacing w:before="2"/>
        <w:ind w:left="138" w:right="0" w:firstLine="0"/>
        <w:jc w:val="left"/>
        <w:rPr>
          <w:i/>
          <w:sz w:val="24"/>
        </w:rPr>
      </w:pPr>
      <w:r>
        <w:rPr>
          <w:i/>
          <w:sz w:val="24"/>
        </w:rPr>
        <w:t>Attorney for Defendant</w:t>
      </w:r>
    </w:p>
    <w:p>
      <w:pPr>
        <w:pStyle w:val="BodyText"/>
        <w:ind w:left="0"/>
        <w:rPr>
          <w:i/>
          <w:sz w:val="26"/>
        </w:rPr>
      </w:pPr>
    </w:p>
    <w:p>
      <w:pPr>
        <w:tabs>
          <w:tab w:pos="9479" w:val="left" w:leader="none"/>
        </w:tabs>
        <w:spacing w:line="275" w:lineRule="exact" w:before="211"/>
        <w:ind w:left="5160" w:right="0" w:firstLine="0"/>
        <w:jc w:val="left"/>
        <w:rPr>
          <w:i/>
          <w:sz w:val="24"/>
        </w:rPr>
      </w:pPr>
      <w:r>
        <w:rPr>
          <w:i/>
          <w:sz w:val="24"/>
          <w:u w:val="single"/>
        </w:rPr>
        <w:t>/s/ Neil S.</w:t>
      </w:r>
      <w:r>
        <w:rPr>
          <w:i/>
          <w:spacing w:val="-6"/>
          <w:sz w:val="24"/>
          <w:u w:val="single"/>
        </w:rPr>
        <w:t> </w:t>
      </w:r>
      <w:r>
        <w:rPr>
          <w:i/>
          <w:sz w:val="24"/>
          <w:u w:val="single"/>
        </w:rPr>
        <w:t>Sullenberger</w:t>
        <w:tab/>
      </w:r>
    </w:p>
    <w:p>
      <w:pPr>
        <w:pStyle w:val="BodyText"/>
        <w:spacing w:line="275" w:lineRule="exact"/>
        <w:ind w:left="5160"/>
      </w:pPr>
      <w:r>
        <w:rPr/>
        <w:t>Neil S. Sullenberger, Law Clerk</w:t>
      </w:r>
    </w:p>
    <w:p>
      <w:pPr>
        <w:pStyle w:val="BodyText"/>
        <w:spacing w:before="1"/>
        <w:ind w:left="0"/>
      </w:pPr>
    </w:p>
    <w:p>
      <w:pPr>
        <w:spacing w:before="0"/>
        <w:ind w:left="5160" w:right="356" w:firstLine="0"/>
        <w:jc w:val="left"/>
        <w:rPr>
          <w:i/>
          <w:sz w:val="22"/>
        </w:rPr>
      </w:pPr>
      <w:r>
        <w:rPr>
          <w:i/>
          <w:sz w:val="22"/>
        </w:rPr>
        <w:t>(Original signature on file at Abrams &amp; Assoc. </w:t>
      </w:r>
      <w:r>
        <w:rPr>
          <w:i/>
          <w:sz w:val="22"/>
        </w:rPr>
        <w:t>LLC pursuant to C.R.C.P. 121 § 1-26)</w:t>
      </w:r>
    </w:p>
    <w:sectPr>
      <w:pgSz w:w="12240" w:h="15840"/>
      <w:pgMar w:header="0" w:footer="1065" w:top="1360" w:bottom="126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8pt;margin-top:727.746643pt;width:16pt;height:15.3pt;mso-position-horizontal-relative:page;mso-position-vertical-relative:page;z-index:-685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63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920" w:hanging="360"/>
        <w:jc w:val="left"/>
      </w:pPr>
      <w:rPr>
        <w:rFonts w:hint="default" w:ascii="Times New Roman" w:hAnsi="Times New Roman" w:eastAsia="Times New Roman" w:cs="Times New Roman"/>
        <w:spacing w:val="-30"/>
        <w:w w:val="99"/>
        <w:sz w:val="24"/>
        <w:szCs w:val="24"/>
      </w:rPr>
    </w:lvl>
    <w:lvl w:ilvl="2">
      <w:start w:val="0"/>
      <w:numFmt w:val="bullet"/>
      <w:lvlText w:val="•"/>
      <w:lvlJc w:val="left"/>
      <w:pPr>
        <w:ind w:left="2782" w:hanging="360"/>
      </w:pPr>
      <w:rPr>
        <w:rFonts w:hint="default"/>
      </w:rPr>
    </w:lvl>
    <w:lvl w:ilvl="3">
      <w:start w:val="0"/>
      <w:numFmt w:val="bullet"/>
      <w:lvlText w:val="•"/>
      <w:lvlJc w:val="left"/>
      <w:pPr>
        <w:ind w:left="3644" w:hanging="360"/>
      </w:pPr>
      <w:rPr>
        <w:rFonts w:hint="default"/>
      </w:rPr>
    </w:lvl>
    <w:lvl w:ilvl="4">
      <w:start w:val="0"/>
      <w:numFmt w:val="bullet"/>
      <w:lvlText w:val="•"/>
      <w:lvlJc w:val="left"/>
      <w:pPr>
        <w:ind w:left="4506" w:hanging="360"/>
      </w:pPr>
      <w:rPr>
        <w:rFonts w:hint="default"/>
      </w:rPr>
    </w:lvl>
    <w:lvl w:ilvl="5">
      <w:start w:val="0"/>
      <w:numFmt w:val="bullet"/>
      <w:lvlText w:val="•"/>
      <w:lvlJc w:val="left"/>
      <w:pPr>
        <w:ind w:left="5368" w:hanging="360"/>
      </w:pPr>
      <w:rPr>
        <w:rFonts w:hint="default"/>
      </w:rPr>
    </w:lvl>
    <w:lvl w:ilvl="6">
      <w:start w:val="0"/>
      <w:numFmt w:val="bullet"/>
      <w:lvlText w:val="•"/>
      <w:lvlJc w:val="left"/>
      <w:pPr>
        <w:ind w:left="6231"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795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pPr>
    <w:rPr>
      <w:rFonts w:ascii="Times New Roman" w:hAnsi="Times New Roman" w:eastAsia="Times New Roman" w:cs="Times New Roman"/>
      <w:sz w:val="24"/>
      <w:szCs w:val="24"/>
    </w:rPr>
  </w:style>
  <w:style w:styleId="Heading1" w:type="paragraph">
    <w:name w:val="Heading 1"/>
    <w:basedOn w:val="Normal"/>
    <w:uiPriority w:val="1"/>
    <w:qFormat/>
    <w:pPr>
      <w:ind w:left="3591" w:right="3668"/>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20" w:right="196"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2019-03-18T21:33:01Z</dcterms:created>
  <dcterms:modified xsi:type="dcterms:W3CDTF">2019-03-18T21:33:01Z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