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20"/>
        <w:gridCol w:w="3420"/>
      </w:tblGrid>
      <w:tr>
        <w:trPr>
          <w:trHeight w:val="4726" w:hRule="atLeast"/>
        </w:trPr>
        <w:tc>
          <w:tcPr>
            <w:tcW w:w="5920" w:type="dxa"/>
          </w:tcPr>
          <w:p>
            <w:pPr>
              <w:pStyle w:val="TableParagraph"/>
              <w:spacing w:before="8"/>
              <w:rPr>
                <w:sz w:val="23"/>
              </w:rPr>
            </w:pPr>
          </w:p>
          <w:p>
            <w:pPr>
              <w:pStyle w:val="TableParagraph"/>
              <w:ind w:left="107"/>
              <w:jc w:val="both"/>
              <w:rPr>
                <w:sz w:val="24"/>
              </w:rPr>
            </w:pPr>
            <w:r>
              <w:rPr>
                <w:sz w:val="24"/>
              </w:rPr>
              <w:t>DISTRICT COURT, DENVER COUNTY, COLORADO</w:t>
            </w:r>
          </w:p>
          <w:p>
            <w:pPr>
              <w:pStyle w:val="TableParagraph"/>
              <w:rPr>
                <w:sz w:val="24"/>
              </w:rPr>
            </w:pPr>
          </w:p>
          <w:p>
            <w:pPr>
              <w:pStyle w:val="TableParagraph"/>
              <w:ind w:left="107"/>
              <w:jc w:val="both"/>
              <w:rPr>
                <w:sz w:val="24"/>
              </w:rPr>
            </w:pPr>
            <w:r>
              <w:rPr>
                <w:sz w:val="24"/>
              </w:rPr>
              <w:t>Court Address: Denver County Court</w:t>
            </w:r>
          </w:p>
          <w:p>
            <w:pPr>
              <w:pStyle w:val="TableParagraph"/>
              <w:ind w:left="1727"/>
              <w:rPr>
                <w:sz w:val="24"/>
              </w:rPr>
            </w:pPr>
            <w:r>
              <w:rPr>
                <w:sz w:val="24"/>
              </w:rPr>
              <w:t>1437 Bannock St., Room 256</w:t>
            </w:r>
          </w:p>
          <w:p>
            <w:pPr>
              <w:pStyle w:val="TableParagraph"/>
              <w:ind w:left="1727"/>
              <w:rPr>
                <w:sz w:val="24"/>
              </w:rPr>
            </w:pPr>
            <w:r>
              <w:rPr>
                <w:sz w:val="24"/>
              </w:rPr>
              <w:t>Denver, CO</w:t>
            </w:r>
            <w:r>
              <w:rPr>
                <w:spacing w:val="58"/>
                <w:sz w:val="24"/>
              </w:rPr>
              <w:t> </w:t>
            </w:r>
            <w:r>
              <w:rPr>
                <w:sz w:val="24"/>
              </w:rPr>
              <w:t>80202</w:t>
            </w:r>
          </w:p>
          <w:p>
            <w:pPr>
              <w:pStyle w:val="TableParagraph"/>
              <w:ind w:left="1727"/>
              <w:rPr>
                <w:sz w:val="24"/>
              </w:rPr>
            </w:pPr>
            <w:r>
              <w:rPr>
                <w:sz w:val="24"/>
              </w:rPr>
              <w:t>(720) 865-8301</w:t>
            </w:r>
          </w:p>
          <w:p>
            <w:pPr>
              <w:pStyle w:val="TableParagraph"/>
              <w:rPr>
                <w:sz w:val="26"/>
              </w:rPr>
            </w:pPr>
          </w:p>
          <w:p>
            <w:pPr>
              <w:pStyle w:val="TableParagraph"/>
              <w:spacing w:line="20" w:lineRule="exact"/>
              <w:ind w:left="69"/>
              <w:rPr>
                <w:sz w:val="2"/>
              </w:rPr>
            </w:pPr>
            <w:r>
              <w:rPr>
                <w:sz w:val="2"/>
              </w:rPr>
              <w:pict>
                <v:group style="width:288.2pt;height:.75pt;mso-position-horizontal-relative:char;mso-position-vertical-relative:line" coordorigin="0,0" coordsize="5764,15">
                  <v:line style="position:absolute" from="0,7" to="5764,7" stroked="true" strokeweight=".72pt" strokecolor="#000000">
                    <v:stroke dashstyle="solid"/>
                  </v:line>
                </v:group>
              </w:pict>
            </w:r>
            <w:r>
              <w:rPr>
                <w:sz w:val="2"/>
              </w:rPr>
            </w:r>
          </w:p>
          <w:p>
            <w:pPr>
              <w:pStyle w:val="TableParagraph"/>
              <w:spacing w:before="3"/>
              <w:rPr>
                <w:sz w:val="23"/>
              </w:rPr>
            </w:pPr>
          </w:p>
          <w:p>
            <w:pPr>
              <w:pStyle w:val="TableParagraph"/>
              <w:ind w:left="107" w:right="1046"/>
              <w:jc w:val="both"/>
              <w:rPr>
                <w:sz w:val="24"/>
              </w:rPr>
            </w:pPr>
            <w:r>
              <w:rPr>
                <w:sz w:val="24"/>
              </w:rPr>
              <w:t>Plaintiffs: ROBERT ABRAMS and ABRAMS &amp; ASSOCIATES, LLC, a Colorado limited liability company;</w:t>
            </w:r>
          </w:p>
          <w:p>
            <w:pPr>
              <w:pStyle w:val="TableParagraph"/>
              <w:rPr>
                <w:sz w:val="24"/>
              </w:rPr>
            </w:pPr>
          </w:p>
          <w:p>
            <w:pPr>
              <w:pStyle w:val="TableParagraph"/>
              <w:ind w:left="107"/>
              <w:jc w:val="both"/>
              <w:rPr>
                <w:sz w:val="24"/>
              </w:rPr>
            </w:pPr>
            <w:r>
              <w:rPr>
                <w:sz w:val="24"/>
              </w:rPr>
              <w:t>v.</w:t>
            </w:r>
          </w:p>
          <w:p>
            <w:pPr>
              <w:pStyle w:val="TableParagraph"/>
              <w:rPr>
                <w:sz w:val="24"/>
              </w:rPr>
            </w:pPr>
          </w:p>
          <w:p>
            <w:pPr>
              <w:pStyle w:val="TableParagraph"/>
              <w:ind w:left="107"/>
              <w:jc w:val="both"/>
              <w:rPr>
                <w:sz w:val="24"/>
              </w:rPr>
            </w:pPr>
            <w:r>
              <w:rPr>
                <w:sz w:val="24"/>
              </w:rPr>
              <w:t>Defendants: SHAWN BEESON</w:t>
            </w:r>
          </w:p>
        </w:tc>
        <w:tc>
          <w:tcPr>
            <w:tcW w:w="3420" w:type="dxa"/>
          </w:tcPr>
          <w:p>
            <w:pPr>
              <w:pStyle w:val="TableParagraph"/>
              <w:rPr>
                <w:sz w:val="22"/>
              </w:rPr>
            </w:pPr>
          </w:p>
          <w:p>
            <w:pPr>
              <w:pStyle w:val="TableParagraph"/>
              <w:spacing w:before="8"/>
              <w:rPr>
                <w:sz w:val="25"/>
              </w:rPr>
            </w:pPr>
          </w:p>
          <w:p>
            <w:pPr>
              <w:pStyle w:val="TableParagraph"/>
              <w:spacing w:line="225" w:lineRule="auto"/>
              <w:rPr>
                <w:sz w:val="20"/>
              </w:rPr>
            </w:pPr>
            <w:r>
              <w:rPr>
                <w:color w:val="0000FF"/>
                <w:sz w:val="20"/>
              </w:rPr>
              <w:t>DATE FILED: June 1, 2017 4:06 PM FILING ID: CD2DF22E908E3</w:t>
            </w:r>
          </w:p>
          <w:p>
            <w:pPr>
              <w:pStyle w:val="TableParagraph"/>
              <w:spacing w:line="218" w:lineRule="exact"/>
              <w:rPr>
                <w:sz w:val="20"/>
              </w:rPr>
            </w:pPr>
            <w:r>
              <w:rPr>
                <w:color w:val="0000FF"/>
                <w:sz w:val="20"/>
              </w:rPr>
              <w:t>CASE  NUMBER:</w:t>
            </w:r>
            <w:r>
              <w:rPr>
                <w:color w:val="0000FF"/>
                <w:spacing w:val="46"/>
                <w:sz w:val="20"/>
              </w:rPr>
              <w:t> </w:t>
            </w:r>
            <w:r>
              <w:rPr>
                <w:color w:val="0000FF"/>
                <w:sz w:val="20"/>
              </w:rPr>
              <w:t>2015CV31709</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31"/>
              </w:rPr>
            </w:pPr>
          </w:p>
          <w:p>
            <w:pPr>
              <w:pStyle w:val="TableParagraph"/>
              <w:spacing w:before="1"/>
              <w:ind w:left="635"/>
              <w:rPr>
                <w:b/>
                <w:sz w:val="24"/>
              </w:rPr>
            </w:pPr>
            <w:r>
              <w:rPr>
                <w:b/>
                <w:sz w:val="24"/>
              </w:rPr>
              <w:t>COURT USE</w:t>
            </w:r>
            <w:r>
              <w:rPr>
                <w:b/>
                <w:spacing w:val="-9"/>
                <w:sz w:val="24"/>
              </w:rPr>
              <w:t> </w:t>
            </w:r>
            <w:r>
              <w:rPr>
                <w:b/>
                <w:sz w:val="24"/>
              </w:rPr>
              <w:t>ONLY</w:t>
            </w:r>
          </w:p>
        </w:tc>
      </w:tr>
      <w:tr>
        <w:trPr>
          <w:trHeight w:val="278" w:hRule="atLeast"/>
        </w:trPr>
        <w:tc>
          <w:tcPr>
            <w:tcW w:w="5920" w:type="dxa"/>
            <w:tcBorders>
              <w:bottom w:val="nil"/>
            </w:tcBorders>
          </w:tcPr>
          <w:p>
            <w:pPr>
              <w:pStyle w:val="TableParagraph"/>
              <w:spacing w:line="258" w:lineRule="exact"/>
              <w:ind w:left="107"/>
              <w:rPr>
                <w:sz w:val="24"/>
              </w:rPr>
            </w:pPr>
            <w:r>
              <w:rPr>
                <w:sz w:val="24"/>
              </w:rPr>
              <w:t>Attorneys for Plaintiffs:</w:t>
            </w:r>
          </w:p>
        </w:tc>
        <w:tc>
          <w:tcPr>
            <w:tcW w:w="3420" w:type="dxa"/>
            <w:tcBorders>
              <w:bottom w:val="nil"/>
            </w:tcBorders>
          </w:tcPr>
          <w:p>
            <w:pPr>
              <w:pStyle w:val="TableParagraph"/>
              <w:rPr>
                <w:sz w:val="20"/>
              </w:rPr>
            </w:pPr>
          </w:p>
        </w:tc>
      </w:tr>
      <w:tr>
        <w:trPr>
          <w:trHeight w:val="275" w:hRule="atLeast"/>
        </w:trPr>
        <w:tc>
          <w:tcPr>
            <w:tcW w:w="5920" w:type="dxa"/>
            <w:tcBorders>
              <w:top w:val="nil"/>
              <w:bottom w:val="nil"/>
            </w:tcBorders>
          </w:tcPr>
          <w:p>
            <w:pPr>
              <w:pStyle w:val="TableParagraph"/>
              <w:rPr>
                <w:sz w:val="20"/>
              </w:rPr>
            </w:pPr>
          </w:p>
        </w:tc>
        <w:tc>
          <w:tcPr>
            <w:tcW w:w="3420" w:type="dxa"/>
            <w:tcBorders>
              <w:top w:val="nil"/>
              <w:bottom w:val="nil"/>
            </w:tcBorders>
          </w:tcPr>
          <w:p>
            <w:pPr>
              <w:pStyle w:val="TableParagraph"/>
              <w:spacing w:line="255" w:lineRule="exact"/>
              <w:ind w:left="107"/>
              <w:rPr>
                <w:sz w:val="24"/>
              </w:rPr>
            </w:pPr>
            <w:r>
              <w:rPr>
                <w:sz w:val="24"/>
              </w:rPr>
              <w:t>Case Number: 2015CV31709</w:t>
            </w:r>
          </w:p>
        </w:tc>
      </w:tr>
      <w:tr>
        <w:trPr>
          <w:trHeight w:val="2070" w:hRule="atLeast"/>
        </w:trPr>
        <w:tc>
          <w:tcPr>
            <w:tcW w:w="5920" w:type="dxa"/>
            <w:tcBorders>
              <w:top w:val="nil"/>
              <w:bottom w:val="nil"/>
            </w:tcBorders>
          </w:tcPr>
          <w:p>
            <w:pPr>
              <w:pStyle w:val="TableParagraph"/>
              <w:spacing w:line="271" w:lineRule="exact"/>
              <w:ind w:left="107"/>
              <w:rPr>
                <w:sz w:val="24"/>
              </w:rPr>
            </w:pPr>
            <w:r>
              <w:rPr>
                <w:sz w:val="24"/>
              </w:rPr>
              <w:t>Nathan Silver</w:t>
            </w:r>
          </w:p>
          <w:p>
            <w:pPr>
              <w:pStyle w:val="TableParagraph"/>
              <w:ind w:left="107" w:right="3348"/>
              <w:rPr>
                <w:sz w:val="24"/>
              </w:rPr>
            </w:pPr>
            <w:r>
              <w:rPr>
                <w:sz w:val="24"/>
              </w:rPr>
              <w:t>Silver Law Firm, LLC 700 17</w:t>
            </w:r>
            <w:r>
              <w:rPr>
                <w:sz w:val="24"/>
                <w:vertAlign w:val="superscript"/>
              </w:rPr>
              <w:t>th</w:t>
            </w:r>
            <w:r>
              <w:rPr>
                <w:sz w:val="24"/>
                <w:vertAlign w:val="baseline"/>
              </w:rPr>
              <w:t> Street, Suite 650</w:t>
            </w:r>
          </w:p>
          <w:p>
            <w:pPr>
              <w:pStyle w:val="TableParagraph"/>
              <w:ind w:left="107"/>
              <w:rPr>
                <w:sz w:val="24"/>
              </w:rPr>
            </w:pPr>
            <w:r>
              <w:rPr>
                <w:sz w:val="24"/>
              </w:rPr>
              <w:t>Denver, Colorado 80202</w:t>
            </w:r>
          </w:p>
          <w:p>
            <w:pPr>
              <w:pStyle w:val="TableParagraph"/>
              <w:ind w:left="107"/>
              <w:rPr>
                <w:sz w:val="24"/>
              </w:rPr>
            </w:pPr>
            <w:r>
              <w:rPr>
                <w:sz w:val="24"/>
              </w:rPr>
              <w:t>Phone: (303) 328-8510</w:t>
            </w:r>
          </w:p>
          <w:p>
            <w:pPr>
              <w:pStyle w:val="TableParagraph"/>
              <w:ind w:left="107" w:right="2136"/>
              <w:rPr>
                <w:sz w:val="24"/>
              </w:rPr>
            </w:pPr>
            <w:r>
              <w:rPr>
                <w:sz w:val="24"/>
              </w:rPr>
              <w:t>E-m</w:t>
            </w:r>
            <w:hyperlink r:id="rId6">
              <w:r>
                <w:rPr>
                  <w:sz w:val="24"/>
                </w:rPr>
                <w:t>ail: nathan@silverlawdenver.com</w:t>
              </w:r>
            </w:hyperlink>
            <w:r>
              <w:rPr>
                <w:sz w:val="24"/>
              </w:rPr>
              <w:t> Atty. Reg. # 28836</w:t>
            </w:r>
          </w:p>
        </w:tc>
        <w:tc>
          <w:tcPr>
            <w:tcW w:w="3420" w:type="dxa"/>
            <w:tcBorders>
              <w:top w:val="nil"/>
              <w:bottom w:val="nil"/>
            </w:tcBorders>
          </w:tcPr>
          <w:p>
            <w:pPr>
              <w:pStyle w:val="TableParagraph"/>
              <w:spacing w:before="6"/>
              <w:rPr>
                <w:sz w:val="23"/>
              </w:rPr>
            </w:pPr>
          </w:p>
          <w:p>
            <w:pPr>
              <w:pStyle w:val="TableParagraph"/>
              <w:ind w:left="107"/>
              <w:rPr>
                <w:sz w:val="24"/>
              </w:rPr>
            </w:pPr>
            <w:r>
              <w:rPr>
                <w:sz w:val="24"/>
              </w:rPr>
              <w:t>Division: 275</w:t>
            </w:r>
          </w:p>
        </w:tc>
      </w:tr>
      <w:tr>
        <w:trPr>
          <w:trHeight w:val="1655" w:hRule="atLeast"/>
        </w:trPr>
        <w:tc>
          <w:tcPr>
            <w:tcW w:w="5920" w:type="dxa"/>
            <w:tcBorders>
              <w:top w:val="nil"/>
              <w:bottom w:val="nil"/>
            </w:tcBorders>
          </w:tcPr>
          <w:p>
            <w:pPr>
              <w:pStyle w:val="TableParagraph"/>
              <w:spacing w:before="133"/>
              <w:ind w:left="107"/>
              <w:rPr>
                <w:sz w:val="24"/>
              </w:rPr>
            </w:pPr>
            <w:r>
              <w:rPr>
                <w:sz w:val="24"/>
              </w:rPr>
              <w:t>ABRAMS &amp; ASSOCIATES,</w:t>
            </w:r>
            <w:r>
              <w:rPr>
                <w:spacing w:val="-13"/>
                <w:sz w:val="24"/>
              </w:rPr>
              <w:t> </w:t>
            </w:r>
            <w:r>
              <w:rPr>
                <w:sz w:val="24"/>
              </w:rPr>
              <w:t>LLC</w:t>
            </w:r>
          </w:p>
          <w:p>
            <w:pPr>
              <w:pStyle w:val="TableParagraph"/>
              <w:ind w:left="107"/>
              <w:rPr>
                <w:sz w:val="24"/>
              </w:rPr>
            </w:pPr>
            <w:r>
              <w:rPr>
                <w:sz w:val="24"/>
              </w:rPr>
              <w:t>Robert Abrams, Atty Reg.</w:t>
            </w:r>
            <w:r>
              <w:rPr>
                <w:spacing w:val="-7"/>
                <w:sz w:val="24"/>
              </w:rPr>
              <w:t> </w:t>
            </w:r>
            <w:r>
              <w:rPr>
                <w:sz w:val="24"/>
              </w:rPr>
              <w:t>#37950</w:t>
            </w:r>
          </w:p>
          <w:p>
            <w:pPr>
              <w:pStyle w:val="TableParagraph"/>
              <w:ind w:left="107" w:right="1936"/>
              <w:rPr>
                <w:sz w:val="24"/>
              </w:rPr>
            </w:pPr>
            <w:r>
              <w:rPr>
                <w:sz w:val="24"/>
              </w:rPr>
              <w:t>Neil S. Sullenberger, Atty Reg. # 48698 700 17</w:t>
            </w:r>
            <w:r>
              <w:rPr>
                <w:sz w:val="24"/>
                <w:vertAlign w:val="superscript"/>
              </w:rPr>
              <w:t>th</w:t>
            </w:r>
            <w:r>
              <w:rPr>
                <w:sz w:val="24"/>
                <w:vertAlign w:val="baseline"/>
              </w:rPr>
              <w:t> St., Suite 650</w:t>
            </w:r>
          </w:p>
          <w:p>
            <w:pPr>
              <w:pStyle w:val="TableParagraph"/>
              <w:ind w:left="107"/>
              <w:rPr>
                <w:sz w:val="24"/>
              </w:rPr>
            </w:pPr>
            <w:r>
              <w:rPr>
                <w:sz w:val="24"/>
              </w:rPr>
              <w:t>Denver, CO 80202</w:t>
            </w:r>
          </w:p>
        </w:tc>
        <w:tc>
          <w:tcPr>
            <w:tcW w:w="3420" w:type="dxa"/>
            <w:tcBorders>
              <w:top w:val="nil"/>
              <w:bottom w:val="nil"/>
            </w:tcBorders>
          </w:tcPr>
          <w:p>
            <w:pPr>
              <w:pStyle w:val="TableParagraph"/>
              <w:rPr>
                <w:sz w:val="22"/>
              </w:rPr>
            </w:pPr>
          </w:p>
        </w:tc>
      </w:tr>
      <w:tr>
        <w:trPr>
          <w:trHeight w:val="1239" w:hRule="atLeast"/>
        </w:trPr>
        <w:tc>
          <w:tcPr>
            <w:tcW w:w="5920" w:type="dxa"/>
            <w:tcBorders>
              <w:top w:val="nil"/>
            </w:tcBorders>
          </w:tcPr>
          <w:p>
            <w:pPr>
              <w:pStyle w:val="TableParagraph"/>
              <w:spacing w:before="133"/>
              <w:ind w:left="107"/>
              <w:rPr>
                <w:sz w:val="24"/>
              </w:rPr>
            </w:pPr>
            <w:r>
              <w:rPr>
                <w:sz w:val="24"/>
              </w:rPr>
              <w:t>Phone #: (303) 322-4115</w:t>
            </w:r>
          </w:p>
          <w:p>
            <w:pPr>
              <w:pStyle w:val="TableParagraph"/>
              <w:ind w:left="107"/>
              <w:rPr>
                <w:sz w:val="24"/>
              </w:rPr>
            </w:pPr>
            <w:r>
              <w:rPr>
                <w:sz w:val="24"/>
              </w:rPr>
              <w:t>Fax #: (303) 333-0708</w:t>
            </w:r>
          </w:p>
          <w:p>
            <w:pPr>
              <w:pStyle w:val="TableParagraph"/>
              <w:ind w:left="107"/>
              <w:rPr>
                <w:sz w:val="24"/>
              </w:rPr>
            </w:pPr>
            <w:r>
              <w:rPr>
                <w:sz w:val="24"/>
              </w:rPr>
              <w:t>E-mail: </w:t>
            </w:r>
            <w:hyperlink r:id="rId7">
              <w:r>
                <w:rPr>
                  <w:color w:val="0000FF"/>
                  <w:sz w:val="24"/>
                  <w:u w:val="single" w:color="0000FF"/>
                </w:rPr>
                <w:t>Robert@AbramsLaw.net</w:t>
              </w:r>
            </w:hyperlink>
          </w:p>
        </w:tc>
        <w:tc>
          <w:tcPr>
            <w:tcW w:w="3420" w:type="dxa"/>
            <w:tcBorders>
              <w:top w:val="nil"/>
            </w:tcBorders>
          </w:tcPr>
          <w:p>
            <w:pPr>
              <w:pStyle w:val="TableParagraph"/>
              <w:rPr>
                <w:sz w:val="22"/>
              </w:rPr>
            </w:pPr>
          </w:p>
        </w:tc>
      </w:tr>
      <w:tr>
        <w:trPr>
          <w:trHeight w:val="782" w:hRule="atLeast"/>
        </w:trPr>
        <w:tc>
          <w:tcPr>
            <w:tcW w:w="9340" w:type="dxa"/>
            <w:gridSpan w:val="2"/>
          </w:tcPr>
          <w:p>
            <w:pPr>
              <w:pStyle w:val="TableParagraph"/>
              <w:spacing w:before="229"/>
              <w:ind w:left="202"/>
              <w:rPr>
                <w:b/>
                <w:sz w:val="24"/>
              </w:rPr>
            </w:pPr>
            <w:r>
              <w:rPr>
                <w:b/>
                <w:sz w:val="24"/>
              </w:rPr>
              <w:t>PLAINTIFFS’ RESPONSE AND OBJECTION TO DEFENDANT’S BILL OF COSTS</w:t>
            </w:r>
          </w:p>
        </w:tc>
      </w:tr>
    </w:tbl>
    <w:p>
      <w:pPr>
        <w:pStyle w:val="BodyText"/>
        <w:spacing w:before="8"/>
        <w:rPr>
          <w:sz w:val="16"/>
        </w:rPr>
      </w:pPr>
      <w:r>
        <w:rPr/>
        <w:pict>
          <v:shape style="position:absolute;margin-left:383.550293pt;margin-top:281.382416pt;width:10pt;height:10pt;mso-position-horizontal-relative:page;mso-position-vertical-relative:page;z-index:-6568" coordorigin="7671,5628" coordsize="200,200" path="m7771,5628l7671,5828,7871,5828,7771,5628xe" filled="true" fillcolor="#000000" stroked="false">
            <v:path arrowok="t"/>
            <v:fill type="solid"/>
            <w10:wrap type="none"/>
          </v:shape>
        </w:pict>
      </w:r>
      <w:r>
        <w:rPr/>
        <w:pict>
          <v:shape style="position:absolute;margin-left:518.300171pt;margin-top:281.382416pt;width:10pt;height:10pt;mso-position-horizontal-relative:page;mso-position-vertical-relative:page;z-index:-6544" coordorigin="10366,5628" coordsize="200,200" path="m10466,5628l10366,5828,10566,5828,10466,5628xe" filled="true" fillcolor="#000000" stroked="false">
            <v:path arrowok="t"/>
            <v:fill type="solid"/>
            <w10:wrap type="none"/>
          </v:shape>
        </w:pict>
      </w:r>
    </w:p>
    <w:p>
      <w:pPr>
        <w:pStyle w:val="BodyText"/>
        <w:spacing w:before="90"/>
        <w:ind w:left="110" w:right="287" w:firstLine="720"/>
        <w:jc w:val="both"/>
      </w:pPr>
      <w:r>
        <w:rPr/>
        <w:t>COMES NOW, Plaintiffs Robert Abrams and Abrams &amp; Associates, LLC, by their attorneys at Abrams &amp; Associates, LLC, and hereby file their Response and Objection to Defendant’s Bill of Costs. In support thereof, Plaintiffs state and allege as follows:</w:t>
      </w:r>
    </w:p>
    <w:p>
      <w:pPr>
        <w:spacing w:after="0"/>
        <w:jc w:val="both"/>
        <w:sectPr>
          <w:footerReference w:type="default" r:id="rId5"/>
          <w:type w:val="continuous"/>
          <w:pgSz w:w="12240" w:h="16350"/>
          <w:pgMar w:footer="1065" w:top="1520" w:bottom="1260" w:left="1420" w:right="1060"/>
          <w:pgNumType w:start="1"/>
        </w:sectPr>
      </w:pPr>
    </w:p>
    <w:p>
      <w:pPr>
        <w:pStyle w:val="Heading1"/>
        <w:spacing w:before="68"/>
        <w:ind w:left="3580" w:right="3758" w:firstLine="0"/>
        <w:jc w:val="center"/>
        <w:rPr>
          <w:u w:val="none"/>
        </w:rPr>
      </w:pPr>
      <w:r>
        <w:rPr>
          <w:u w:val="thick"/>
        </w:rPr>
        <w:t>INTRODUCTION</w:t>
      </w:r>
    </w:p>
    <w:p>
      <w:pPr>
        <w:pStyle w:val="BodyText"/>
        <w:rPr>
          <w:b/>
          <w:sz w:val="16"/>
        </w:rPr>
      </w:pPr>
    </w:p>
    <w:p>
      <w:pPr>
        <w:pStyle w:val="ListParagraph"/>
        <w:numPr>
          <w:ilvl w:val="0"/>
          <w:numId w:val="1"/>
        </w:numPr>
        <w:tabs>
          <w:tab w:pos="1550" w:val="left" w:leader="none"/>
        </w:tabs>
        <w:spacing w:line="480" w:lineRule="auto" w:before="90" w:after="0"/>
        <w:ind w:left="110" w:right="286" w:firstLine="720"/>
        <w:jc w:val="both"/>
        <w:rPr>
          <w:sz w:val="24"/>
        </w:rPr>
      </w:pPr>
      <w:r>
        <w:rPr>
          <w:sz w:val="24"/>
        </w:rPr>
        <w:t>Defendant filed his Bill of Costs on or about May 26, 2017, wherein he seeks an award of $2,864.02. Plaintiffs object to such sum for the reasons stated herein and object to the award in its entirety for the reasons stated in Plaintiffs’ Reply to their Motion to Reconsider, filed contemporaneously</w:t>
      </w:r>
      <w:r>
        <w:rPr>
          <w:spacing w:val="-3"/>
          <w:sz w:val="24"/>
        </w:rPr>
        <w:t> </w:t>
      </w:r>
      <w:r>
        <w:rPr>
          <w:sz w:val="24"/>
        </w:rPr>
        <w:t>herewith.</w:t>
      </w:r>
    </w:p>
    <w:p>
      <w:pPr>
        <w:pStyle w:val="Heading1"/>
        <w:spacing w:before="3"/>
        <w:ind w:left="3581" w:right="3758" w:firstLine="0"/>
        <w:jc w:val="center"/>
        <w:rPr>
          <w:u w:val="none"/>
        </w:rPr>
      </w:pPr>
      <w:r>
        <w:rPr>
          <w:u w:val="thick"/>
        </w:rPr>
        <w:t>LEGAL AUTHORITY</w:t>
      </w:r>
    </w:p>
    <w:p>
      <w:pPr>
        <w:pStyle w:val="BodyText"/>
        <w:spacing w:before="11"/>
        <w:rPr>
          <w:b/>
          <w:sz w:val="15"/>
        </w:rPr>
      </w:pPr>
    </w:p>
    <w:p>
      <w:pPr>
        <w:pStyle w:val="ListParagraph"/>
        <w:numPr>
          <w:ilvl w:val="0"/>
          <w:numId w:val="1"/>
        </w:numPr>
        <w:tabs>
          <w:tab w:pos="1550" w:val="left" w:leader="none"/>
        </w:tabs>
        <w:spacing w:line="480" w:lineRule="auto" w:before="90" w:after="0"/>
        <w:ind w:left="110" w:right="287" w:firstLine="720"/>
        <w:jc w:val="both"/>
        <w:rPr>
          <w:sz w:val="24"/>
        </w:rPr>
      </w:pPr>
      <w:r>
        <w:rPr>
          <w:sz w:val="24"/>
        </w:rPr>
        <w:t>C.R.C.P. 121 §1-22 provides “The Bill of Costs shall itemize and total costs being claimed. Taxing and determination of costs shall be in accordance with C.R.C.P. 54(d) and Practice Standard §</w:t>
      </w:r>
      <w:r>
        <w:rPr>
          <w:spacing w:val="-1"/>
          <w:sz w:val="24"/>
        </w:rPr>
        <w:t> </w:t>
      </w:r>
      <w:r>
        <w:rPr>
          <w:sz w:val="24"/>
        </w:rPr>
        <w:t>1-15.”</w:t>
      </w:r>
    </w:p>
    <w:p>
      <w:pPr>
        <w:pStyle w:val="ListParagraph"/>
        <w:numPr>
          <w:ilvl w:val="0"/>
          <w:numId w:val="1"/>
        </w:numPr>
        <w:tabs>
          <w:tab w:pos="1549" w:val="left" w:leader="none"/>
          <w:tab w:pos="1550" w:val="left" w:leader="none"/>
        </w:tabs>
        <w:spacing w:line="240" w:lineRule="auto" w:before="0" w:after="0"/>
        <w:ind w:left="1550" w:right="0" w:hanging="720"/>
        <w:jc w:val="left"/>
        <w:rPr>
          <w:sz w:val="24"/>
        </w:rPr>
      </w:pPr>
      <w:r>
        <w:rPr>
          <w:sz w:val="24"/>
        </w:rPr>
        <w:t>C.R.S. § 13-16-122(1) provides that items includable as costs</w:t>
      </w:r>
      <w:r>
        <w:rPr>
          <w:spacing w:val="-4"/>
          <w:sz w:val="24"/>
        </w:rPr>
        <w:t> </w:t>
      </w:r>
      <w:r>
        <w:rPr>
          <w:sz w:val="24"/>
        </w:rPr>
        <w:t>are:</w:t>
      </w:r>
    </w:p>
    <w:p>
      <w:pPr>
        <w:pStyle w:val="BodyText"/>
      </w:pPr>
    </w:p>
    <w:p>
      <w:pPr>
        <w:pStyle w:val="ListParagraph"/>
        <w:numPr>
          <w:ilvl w:val="1"/>
          <w:numId w:val="1"/>
        </w:numPr>
        <w:tabs>
          <w:tab w:pos="1878" w:val="left" w:leader="none"/>
        </w:tabs>
        <w:spacing w:line="240" w:lineRule="auto" w:before="0" w:after="0"/>
        <w:ind w:left="1550" w:right="1013" w:firstLine="0"/>
        <w:jc w:val="left"/>
        <w:rPr>
          <w:sz w:val="24"/>
        </w:rPr>
      </w:pPr>
      <w:r>
        <w:rPr>
          <w:sz w:val="24"/>
        </w:rPr>
        <w:t>Any docket fee required by article 32 of this title or any other fee or</w:t>
      </w:r>
      <w:r>
        <w:rPr>
          <w:spacing w:val="-18"/>
          <w:sz w:val="24"/>
        </w:rPr>
        <w:t> </w:t>
      </w:r>
      <w:r>
        <w:rPr>
          <w:sz w:val="24"/>
        </w:rPr>
        <w:t>tax required by statute to be paid to the clerk of the</w:t>
      </w:r>
      <w:r>
        <w:rPr>
          <w:spacing w:val="-8"/>
          <w:sz w:val="24"/>
        </w:rPr>
        <w:t> </w:t>
      </w:r>
      <w:r>
        <w:rPr>
          <w:sz w:val="24"/>
        </w:rPr>
        <w:t>court;</w:t>
      </w:r>
    </w:p>
    <w:p>
      <w:pPr>
        <w:pStyle w:val="BodyText"/>
      </w:pPr>
    </w:p>
    <w:p>
      <w:pPr>
        <w:pStyle w:val="ListParagraph"/>
        <w:numPr>
          <w:ilvl w:val="1"/>
          <w:numId w:val="1"/>
        </w:numPr>
        <w:tabs>
          <w:tab w:pos="1891" w:val="left" w:leader="none"/>
        </w:tabs>
        <w:spacing w:line="240" w:lineRule="auto" w:before="0" w:after="0"/>
        <w:ind w:left="1890" w:right="0" w:hanging="340"/>
        <w:jc w:val="left"/>
        <w:rPr>
          <w:sz w:val="24"/>
        </w:rPr>
      </w:pPr>
      <w:r>
        <w:rPr>
          <w:sz w:val="24"/>
        </w:rPr>
        <w:t>The jury fees and expenses provided for in article 71 of this</w:t>
      </w:r>
      <w:r>
        <w:rPr>
          <w:spacing w:val="-8"/>
          <w:sz w:val="24"/>
        </w:rPr>
        <w:t> </w:t>
      </w:r>
      <w:r>
        <w:rPr>
          <w:sz w:val="24"/>
        </w:rPr>
        <w:t>title;</w:t>
      </w:r>
    </w:p>
    <w:p>
      <w:pPr>
        <w:pStyle w:val="BodyText"/>
      </w:pPr>
    </w:p>
    <w:p>
      <w:pPr>
        <w:pStyle w:val="ListParagraph"/>
        <w:numPr>
          <w:ilvl w:val="1"/>
          <w:numId w:val="1"/>
        </w:numPr>
        <w:tabs>
          <w:tab w:pos="1878" w:val="left" w:leader="none"/>
        </w:tabs>
        <w:spacing w:line="240" w:lineRule="auto" w:before="0" w:after="0"/>
        <w:ind w:left="1877" w:right="0" w:hanging="327"/>
        <w:jc w:val="left"/>
        <w:rPr>
          <w:sz w:val="24"/>
        </w:rPr>
      </w:pPr>
      <w:r>
        <w:rPr>
          <w:sz w:val="24"/>
        </w:rPr>
        <w:t>Any fees required to be paid to sheriffs pursuant to section 30-1-104,</w:t>
      </w:r>
      <w:r>
        <w:rPr>
          <w:spacing w:val="-15"/>
          <w:sz w:val="24"/>
        </w:rPr>
        <w:t> </w:t>
      </w:r>
      <w:r>
        <w:rPr>
          <w:sz w:val="24"/>
        </w:rPr>
        <w:t>C.R.S.;</w:t>
      </w:r>
    </w:p>
    <w:p>
      <w:pPr>
        <w:pStyle w:val="BodyText"/>
        <w:spacing w:before="10"/>
        <w:rPr>
          <w:sz w:val="23"/>
        </w:rPr>
      </w:pPr>
    </w:p>
    <w:p>
      <w:pPr>
        <w:pStyle w:val="ListParagraph"/>
        <w:numPr>
          <w:ilvl w:val="1"/>
          <w:numId w:val="1"/>
        </w:numPr>
        <w:tabs>
          <w:tab w:pos="1891" w:val="left" w:leader="none"/>
        </w:tabs>
        <w:spacing w:line="240" w:lineRule="auto" w:before="0" w:after="0"/>
        <w:ind w:left="1550" w:right="763" w:firstLine="0"/>
        <w:jc w:val="left"/>
        <w:rPr>
          <w:sz w:val="24"/>
        </w:rPr>
      </w:pPr>
      <w:r>
        <w:rPr>
          <w:sz w:val="24"/>
        </w:rPr>
        <w:t>Any fees of the court reporter for all or any part of a transcript necessarily obtained for use in this</w:t>
      </w:r>
      <w:r>
        <w:rPr>
          <w:spacing w:val="-2"/>
          <w:sz w:val="24"/>
        </w:rPr>
        <w:t> </w:t>
      </w:r>
      <w:r>
        <w:rPr>
          <w:sz w:val="24"/>
        </w:rPr>
        <w:t>case;</w:t>
      </w:r>
    </w:p>
    <w:p>
      <w:pPr>
        <w:pStyle w:val="BodyText"/>
      </w:pPr>
    </w:p>
    <w:p>
      <w:pPr>
        <w:pStyle w:val="ListParagraph"/>
        <w:numPr>
          <w:ilvl w:val="1"/>
          <w:numId w:val="1"/>
        </w:numPr>
        <w:tabs>
          <w:tab w:pos="1878" w:val="left" w:leader="none"/>
        </w:tabs>
        <w:spacing w:line="240" w:lineRule="auto" w:before="1" w:after="0"/>
        <w:ind w:left="1550" w:right="905" w:firstLine="0"/>
        <w:jc w:val="left"/>
        <w:rPr>
          <w:sz w:val="24"/>
        </w:rPr>
      </w:pPr>
      <w:r>
        <w:rPr>
          <w:sz w:val="24"/>
        </w:rPr>
        <w:t>The witness fees, including subsistence payments, mileage at the rate authorized by section 13-33-103, and charges for expert witnesses</w:t>
      </w:r>
      <w:r>
        <w:rPr>
          <w:spacing w:val="-15"/>
          <w:sz w:val="24"/>
        </w:rPr>
        <w:t> </w:t>
      </w:r>
      <w:r>
        <w:rPr>
          <w:sz w:val="24"/>
        </w:rPr>
        <w:t>approved pursuant to section</w:t>
      </w:r>
      <w:r>
        <w:rPr>
          <w:spacing w:val="-2"/>
          <w:sz w:val="24"/>
        </w:rPr>
        <w:t> </w:t>
      </w:r>
      <w:r>
        <w:rPr>
          <w:sz w:val="24"/>
        </w:rPr>
        <w:t>13-33-102(4);</w:t>
      </w:r>
    </w:p>
    <w:p>
      <w:pPr>
        <w:pStyle w:val="BodyText"/>
        <w:spacing w:before="11"/>
        <w:rPr>
          <w:sz w:val="23"/>
        </w:rPr>
      </w:pPr>
    </w:p>
    <w:p>
      <w:pPr>
        <w:pStyle w:val="ListParagraph"/>
        <w:numPr>
          <w:ilvl w:val="1"/>
          <w:numId w:val="1"/>
        </w:numPr>
        <w:tabs>
          <w:tab w:pos="1850" w:val="left" w:leader="none"/>
        </w:tabs>
        <w:spacing w:line="240" w:lineRule="auto" w:before="0" w:after="0"/>
        <w:ind w:left="1550" w:right="383" w:firstLine="0"/>
        <w:jc w:val="left"/>
        <w:rPr>
          <w:sz w:val="24"/>
        </w:rPr>
      </w:pPr>
      <w:r>
        <w:rPr>
          <w:sz w:val="24"/>
        </w:rPr>
        <w:t>Any fees for exemplification and copies of papers necessarily obtained for use in the</w:t>
      </w:r>
      <w:r>
        <w:rPr>
          <w:spacing w:val="-1"/>
          <w:sz w:val="24"/>
        </w:rPr>
        <w:t> </w:t>
      </w:r>
      <w:r>
        <w:rPr>
          <w:sz w:val="24"/>
        </w:rPr>
        <w:t>case;</w:t>
      </w:r>
    </w:p>
    <w:p>
      <w:pPr>
        <w:pStyle w:val="BodyText"/>
      </w:pPr>
    </w:p>
    <w:p>
      <w:pPr>
        <w:pStyle w:val="ListParagraph"/>
        <w:numPr>
          <w:ilvl w:val="1"/>
          <w:numId w:val="1"/>
        </w:numPr>
        <w:tabs>
          <w:tab w:pos="1891" w:val="left" w:leader="none"/>
        </w:tabs>
        <w:spacing w:line="240" w:lineRule="auto" w:before="0" w:after="0"/>
        <w:ind w:left="1550" w:right="594" w:firstLine="0"/>
        <w:jc w:val="left"/>
        <w:rPr>
          <w:sz w:val="24"/>
        </w:rPr>
      </w:pPr>
      <w:r>
        <w:rPr>
          <w:sz w:val="24"/>
        </w:rPr>
        <w:t>Any costs of taking depositions for the perpetuation of testimony, including reporters' fees, witness fees, expert witness fees, mileage for witnesses, and sheriff fees for service of</w:t>
      </w:r>
      <w:r>
        <w:rPr>
          <w:spacing w:val="-4"/>
          <w:sz w:val="24"/>
        </w:rPr>
        <w:t> </w:t>
      </w:r>
      <w:r>
        <w:rPr>
          <w:sz w:val="24"/>
        </w:rPr>
        <w:t>subpoenas;</w:t>
      </w:r>
    </w:p>
    <w:p>
      <w:pPr>
        <w:pStyle w:val="BodyText"/>
      </w:pPr>
    </w:p>
    <w:p>
      <w:pPr>
        <w:pStyle w:val="ListParagraph"/>
        <w:numPr>
          <w:ilvl w:val="1"/>
          <w:numId w:val="1"/>
        </w:numPr>
        <w:tabs>
          <w:tab w:pos="1891" w:val="left" w:leader="none"/>
        </w:tabs>
        <w:spacing w:line="240" w:lineRule="auto" w:before="0" w:after="0"/>
        <w:ind w:left="1890" w:right="0" w:hanging="340"/>
        <w:jc w:val="left"/>
        <w:rPr>
          <w:sz w:val="24"/>
        </w:rPr>
      </w:pPr>
      <w:r>
        <w:rPr>
          <w:sz w:val="24"/>
        </w:rPr>
        <w:t>Any attorney fees, when authorized by statute or court</w:t>
      </w:r>
      <w:r>
        <w:rPr>
          <w:spacing w:val="-4"/>
          <w:sz w:val="24"/>
        </w:rPr>
        <w:t> </w:t>
      </w:r>
      <w:r>
        <w:rPr>
          <w:sz w:val="24"/>
        </w:rPr>
        <w:t>rule;</w:t>
      </w:r>
    </w:p>
    <w:p>
      <w:pPr>
        <w:pStyle w:val="BodyText"/>
      </w:pPr>
    </w:p>
    <w:p>
      <w:pPr>
        <w:pStyle w:val="ListParagraph"/>
        <w:numPr>
          <w:ilvl w:val="0"/>
          <w:numId w:val="2"/>
        </w:numPr>
        <w:tabs>
          <w:tab w:pos="1748" w:val="left" w:leader="none"/>
        </w:tabs>
        <w:spacing w:line="240" w:lineRule="auto" w:before="0" w:after="0"/>
        <w:ind w:left="1747" w:right="0" w:hanging="287"/>
        <w:jc w:val="left"/>
        <w:rPr>
          <w:sz w:val="24"/>
        </w:rPr>
      </w:pPr>
      <w:r>
        <w:rPr>
          <w:sz w:val="24"/>
        </w:rPr>
        <w:t>Any fees for service of process or fees for any required</w:t>
      </w:r>
      <w:r>
        <w:rPr>
          <w:spacing w:val="-8"/>
          <w:sz w:val="24"/>
        </w:rPr>
        <w:t> </w:t>
      </w:r>
      <w:r>
        <w:rPr>
          <w:sz w:val="24"/>
        </w:rPr>
        <w:t>publications;</w:t>
      </w:r>
    </w:p>
    <w:p>
      <w:pPr>
        <w:pStyle w:val="BodyText"/>
      </w:pPr>
    </w:p>
    <w:p>
      <w:pPr>
        <w:pStyle w:val="ListParagraph"/>
        <w:numPr>
          <w:ilvl w:val="0"/>
          <w:numId w:val="2"/>
        </w:numPr>
        <w:tabs>
          <w:tab w:pos="1748" w:val="left" w:leader="none"/>
        </w:tabs>
        <w:spacing w:line="240" w:lineRule="auto" w:before="0" w:after="0"/>
        <w:ind w:left="1747" w:right="0" w:hanging="287"/>
        <w:jc w:val="left"/>
        <w:rPr>
          <w:sz w:val="24"/>
        </w:rPr>
      </w:pPr>
      <w:r>
        <w:rPr>
          <w:sz w:val="24"/>
        </w:rPr>
        <w:t>Any item specifically authorized by statute to be included as part of the</w:t>
      </w:r>
      <w:r>
        <w:rPr>
          <w:spacing w:val="-16"/>
          <w:sz w:val="24"/>
        </w:rPr>
        <w:t> </w:t>
      </w:r>
      <w:r>
        <w:rPr>
          <w:sz w:val="24"/>
        </w:rPr>
        <w:t>costs.</w:t>
      </w:r>
    </w:p>
    <w:p>
      <w:pPr>
        <w:spacing w:after="0" w:line="240" w:lineRule="auto"/>
        <w:jc w:val="left"/>
        <w:rPr>
          <w:sz w:val="24"/>
        </w:rPr>
        <w:sectPr>
          <w:pgSz w:w="12240" w:h="16350"/>
          <w:pgMar w:header="0" w:footer="1065" w:top="1460" w:bottom="1260" w:left="1420" w:right="1060"/>
        </w:sectPr>
      </w:pPr>
    </w:p>
    <w:p>
      <w:pPr>
        <w:pStyle w:val="ListParagraph"/>
        <w:numPr>
          <w:ilvl w:val="0"/>
          <w:numId w:val="1"/>
        </w:numPr>
        <w:tabs>
          <w:tab w:pos="1550" w:val="left" w:leader="none"/>
        </w:tabs>
        <w:spacing w:line="480" w:lineRule="auto" w:before="66" w:after="0"/>
        <w:ind w:left="110" w:right="287" w:firstLine="720"/>
        <w:jc w:val="both"/>
        <w:rPr>
          <w:sz w:val="24"/>
        </w:rPr>
      </w:pPr>
      <w:r>
        <w:rPr>
          <w:sz w:val="24"/>
        </w:rPr>
        <w:t>To be awardable as costs, an expense must be necessarily incurred by reason of the litigation and for the proper preparation for trial. </w:t>
      </w:r>
      <w:r>
        <w:rPr>
          <w:i/>
          <w:sz w:val="24"/>
        </w:rPr>
        <w:t>Catlin v. Tormey Bewley Corp.</w:t>
      </w:r>
      <w:r>
        <w:rPr>
          <w:sz w:val="24"/>
        </w:rPr>
        <w:t>, 219 P.3d 407 (Colo. App. 2009); </w:t>
      </w:r>
      <w:r>
        <w:rPr>
          <w:i/>
          <w:sz w:val="24"/>
        </w:rPr>
        <w:t>Cherry Creek Sch. Dist. #5 v. Voelker</w:t>
      </w:r>
      <w:r>
        <w:rPr>
          <w:sz w:val="24"/>
        </w:rPr>
        <w:t>, 859 P.2d 805, 813 (Colo. 1993) (stating costs must be “reasonably necessary for the development of the case” to be</w:t>
      </w:r>
      <w:r>
        <w:rPr>
          <w:spacing w:val="-16"/>
          <w:sz w:val="24"/>
        </w:rPr>
        <w:t> </w:t>
      </w:r>
      <w:r>
        <w:rPr>
          <w:sz w:val="24"/>
        </w:rPr>
        <w:t>awardable).</w:t>
      </w:r>
    </w:p>
    <w:p>
      <w:pPr>
        <w:pStyle w:val="ListParagraph"/>
        <w:numPr>
          <w:ilvl w:val="0"/>
          <w:numId w:val="1"/>
        </w:numPr>
        <w:tabs>
          <w:tab w:pos="1549" w:val="left" w:leader="none"/>
          <w:tab w:pos="1550" w:val="left" w:leader="none"/>
        </w:tabs>
        <w:spacing w:line="240" w:lineRule="auto" w:before="0" w:after="0"/>
        <w:ind w:left="1550" w:right="0" w:hanging="720"/>
        <w:jc w:val="left"/>
        <w:rPr>
          <w:sz w:val="24"/>
        </w:rPr>
      </w:pPr>
      <w:r>
        <w:rPr>
          <w:sz w:val="24"/>
        </w:rPr>
        <w:t>Reasonableness</w:t>
      </w:r>
      <w:r>
        <w:rPr>
          <w:spacing w:val="46"/>
          <w:sz w:val="24"/>
        </w:rPr>
        <w:t> </w:t>
      </w:r>
      <w:r>
        <w:rPr>
          <w:sz w:val="24"/>
        </w:rPr>
        <w:t>of</w:t>
      </w:r>
      <w:r>
        <w:rPr>
          <w:spacing w:val="46"/>
          <w:sz w:val="24"/>
        </w:rPr>
        <w:t> </w:t>
      </w:r>
      <w:r>
        <w:rPr>
          <w:sz w:val="24"/>
        </w:rPr>
        <w:t>amount</w:t>
      </w:r>
      <w:r>
        <w:rPr>
          <w:spacing w:val="46"/>
          <w:sz w:val="24"/>
        </w:rPr>
        <w:t> </w:t>
      </w:r>
      <w:r>
        <w:rPr>
          <w:sz w:val="24"/>
        </w:rPr>
        <w:t>is</w:t>
      </w:r>
      <w:r>
        <w:rPr>
          <w:spacing w:val="47"/>
          <w:sz w:val="24"/>
        </w:rPr>
        <w:t> </w:t>
      </w:r>
      <w:r>
        <w:rPr>
          <w:sz w:val="24"/>
        </w:rPr>
        <w:t>a</w:t>
      </w:r>
      <w:r>
        <w:rPr>
          <w:spacing w:val="46"/>
          <w:sz w:val="24"/>
        </w:rPr>
        <w:t> </w:t>
      </w:r>
      <w:r>
        <w:rPr>
          <w:sz w:val="24"/>
        </w:rPr>
        <w:t>requirement</w:t>
      </w:r>
      <w:r>
        <w:rPr>
          <w:spacing w:val="46"/>
          <w:sz w:val="24"/>
        </w:rPr>
        <w:t> </w:t>
      </w:r>
      <w:r>
        <w:rPr>
          <w:sz w:val="24"/>
        </w:rPr>
        <w:t>common</w:t>
      </w:r>
      <w:r>
        <w:rPr>
          <w:spacing w:val="47"/>
          <w:sz w:val="24"/>
        </w:rPr>
        <w:t> </w:t>
      </w:r>
      <w:r>
        <w:rPr>
          <w:sz w:val="24"/>
        </w:rPr>
        <w:t>to</w:t>
      </w:r>
      <w:r>
        <w:rPr>
          <w:spacing w:val="46"/>
          <w:sz w:val="24"/>
        </w:rPr>
        <w:t> </w:t>
      </w:r>
      <w:r>
        <w:rPr>
          <w:sz w:val="24"/>
        </w:rPr>
        <w:t>all</w:t>
      </w:r>
      <w:r>
        <w:rPr>
          <w:spacing w:val="47"/>
          <w:sz w:val="24"/>
        </w:rPr>
        <w:t> </w:t>
      </w:r>
      <w:r>
        <w:rPr>
          <w:sz w:val="24"/>
        </w:rPr>
        <w:t>requests</w:t>
      </w:r>
      <w:r>
        <w:rPr>
          <w:spacing w:val="47"/>
          <w:sz w:val="24"/>
        </w:rPr>
        <w:t> </w:t>
      </w:r>
      <w:r>
        <w:rPr>
          <w:sz w:val="24"/>
        </w:rPr>
        <w:t>for</w:t>
      </w:r>
      <w:r>
        <w:rPr>
          <w:spacing w:val="46"/>
          <w:sz w:val="24"/>
        </w:rPr>
        <w:t> </w:t>
      </w:r>
      <w:r>
        <w:rPr>
          <w:sz w:val="24"/>
        </w:rPr>
        <w:t>costs.</w:t>
      </w:r>
    </w:p>
    <w:p>
      <w:pPr>
        <w:pStyle w:val="BodyText"/>
      </w:pPr>
    </w:p>
    <w:p>
      <w:pPr>
        <w:spacing w:line="480" w:lineRule="auto" w:before="0"/>
        <w:ind w:left="109" w:right="286" w:firstLine="0"/>
        <w:jc w:val="both"/>
        <w:rPr>
          <w:sz w:val="24"/>
        </w:rPr>
      </w:pPr>
      <w:r>
        <w:rPr>
          <w:i/>
          <w:sz w:val="24"/>
        </w:rPr>
        <w:t>Scholz v. Metropolitan Pathologists, P.C., </w:t>
      </w:r>
      <w:r>
        <w:rPr>
          <w:sz w:val="24"/>
        </w:rPr>
        <w:t>851 P.2d 901, 910 (Colo. 1993); </w:t>
      </w:r>
      <w:r>
        <w:rPr>
          <w:i/>
          <w:sz w:val="24"/>
        </w:rPr>
        <w:t>see also Salazar v. </w:t>
      </w:r>
      <w:r>
        <w:rPr>
          <w:i/>
          <w:sz w:val="24"/>
        </w:rPr>
        <w:t>American Sterilizer Co., </w:t>
      </w:r>
      <w:r>
        <w:rPr>
          <w:sz w:val="24"/>
        </w:rPr>
        <w:t>5 P.3d 357, 373 (Colo. App. 1993). The party seeking an award of costs bears the burden of proof on the issue of reasonableness. </w:t>
      </w:r>
      <w:r>
        <w:rPr>
          <w:i/>
          <w:sz w:val="24"/>
        </w:rPr>
        <w:t>Brody v. Hellman</w:t>
      </w:r>
      <w:r>
        <w:rPr>
          <w:sz w:val="24"/>
        </w:rPr>
        <w:t>, 167 P.3d 192, 206 (Colo. App. 2007). Hence, the requesting party “must provide the court with sufficient information and supporting documentation to allow a judge to make a reasoned decision for each cost item presented.” </w:t>
      </w:r>
      <w:r>
        <w:rPr>
          <w:i/>
          <w:sz w:val="24"/>
        </w:rPr>
        <w:t>Id</w:t>
      </w:r>
      <w:r>
        <w:rPr>
          <w:sz w:val="24"/>
        </w:rPr>
        <w:t>. (emphasis added); see also </w:t>
      </w:r>
      <w:r>
        <w:rPr>
          <w:i/>
          <w:sz w:val="24"/>
        </w:rPr>
        <w:t>City of Aurora v. Simpson (In re Water </w:t>
      </w:r>
      <w:r>
        <w:rPr>
          <w:i/>
          <w:sz w:val="24"/>
        </w:rPr>
        <w:t>Rights of Park County Sportsmen's Ranch), </w:t>
      </w:r>
      <w:r>
        <w:rPr>
          <w:sz w:val="24"/>
        </w:rPr>
        <w:t>105 P.3d 595, 627 (Colo. 2005).</w:t>
      </w:r>
    </w:p>
    <w:p>
      <w:pPr>
        <w:pStyle w:val="Heading1"/>
        <w:spacing w:before="3"/>
        <w:ind w:left="4076" w:firstLine="0"/>
        <w:rPr>
          <w:u w:val="none"/>
        </w:rPr>
      </w:pPr>
      <w:r>
        <w:rPr>
          <w:u w:val="thick"/>
        </w:rPr>
        <w:t>ARGUMENT</w:t>
      </w:r>
    </w:p>
    <w:p>
      <w:pPr>
        <w:pStyle w:val="ListParagraph"/>
        <w:numPr>
          <w:ilvl w:val="0"/>
          <w:numId w:val="1"/>
        </w:numPr>
        <w:tabs>
          <w:tab w:pos="1550" w:val="left" w:leader="none"/>
        </w:tabs>
        <w:spacing w:line="480" w:lineRule="auto" w:before="136" w:after="0"/>
        <w:ind w:left="110" w:right="286" w:firstLine="720"/>
        <w:jc w:val="both"/>
        <w:rPr>
          <w:sz w:val="24"/>
        </w:rPr>
      </w:pPr>
      <w:r>
        <w:rPr>
          <w:sz w:val="24"/>
        </w:rPr>
        <w:t>Plaintiffs object to Defendant’s bill of costs on four primary fronts: (A) The Court should exercise its discretion to award no costs; (B) Defendant failed to provide sufficient documentary support for the claimed costs; (C) Notwithstanding lack of support, Defendant’s costs for service of process and subpoenas is excessive and unnecessary; and (D) Notwith- standing lack of support, Defendant’s travel costs are irregular and</w:t>
      </w:r>
      <w:r>
        <w:rPr>
          <w:spacing w:val="-6"/>
          <w:sz w:val="24"/>
        </w:rPr>
        <w:t> </w:t>
      </w:r>
      <w:r>
        <w:rPr>
          <w:sz w:val="24"/>
        </w:rPr>
        <w:t>excessive.</w:t>
      </w:r>
    </w:p>
    <w:p>
      <w:pPr>
        <w:pStyle w:val="BodyText"/>
        <w:spacing w:before="1"/>
      </w:pPr>
    </w:p>
    <w:p>
      <w:pPr>
        <w:pStyle w:val="Heading1"/>
        <w:numPr>
          <w:ilvl w:val="0"/>
          <w:numId w:val="3"/>
        </w:numPr>
        <w:tabs>
          <w:tab w:pos="830" w:val="left" w:leader="none"/>
        </w:tabs>
        <w:spacing w:line="240" w:lineRule="auto" w:before="0" w:after="0"/>
        <w:ind w:left="830" w:right="0" w:hanging="360"/>
        <w:jc w:val="left"/>
        <w:rPr>
          <w:u w:val="none"/>
        </w:rPr>
      </w:pPr>
      <w:r>
        <w:rPr>
          <w:u w:val="thick"/>
        </w:rPr>
        <w:t>The Court Should Exercise its Discretion to Award No</w:t>
      </w:r>
      <w:r>
        <w:rPr>
          <w:spacing w:val="-6"/>
          <w:u w:val="thick"/>
        </w:rPr>
        <w:t> </w:t>
      </w:r>
      <w:r>
        <w:rPr>
          <w:u w:val="thick"/>
        </w:rPr>
        <w:t>Costs.</w:t>
      </w:r>
    </w:p>
    <w:p>
      <w:pPr>
        <w:pStyle w:val="BodyText"/>
        <w:rPr>
          <w:b/>
          <w:sz w:val="16"/>
        </w:rPr>
      </w:pPr>
    </w:p>
    <w:p>
      <w:pPr>
        <w:pStyle w:val="ListParagraph"/>
        <w:numPr>
          <w:ilvl w:val="0"/>
          <w:numId w:val="1"/>
        </w:numPr>
        <w:tabs>
          <w:tab w:pos="1550" w:val="left" w:leader="none"/>
        </w:tabs>
        <w:spacing w:line="480" w:lineRule="auto" w:before="90" w:after="0"/>
        <w:ind w:left="110" w:right="287" w:firstLine="720"/>
        <w:jc w:val="both"/>
        <w:rPr>
          <w:sz w:val="24"/>
        </w:rPr>
      </w:pPr>
      <w:r>
        <w:rPr>
          <w:sz w:val="24"/>
        </w:rPr>
        <w:t>Plaintiffs briefed this issue extensively in their Motion to Reconsider and Reply thereto. As such, Plaintiffs do not feel the need to provide a complete reiteration of case law and argument herein and direct the Court to their previously-filed Motion and their Reply, filed contemporaneously</w:t>
      </w:r>
      <w:r>
        <w:rPr>
          <w:spacing w:val="-1"/>
          <w:sz w:val="24"/>
        </w:rPr>
        <w:t> </w:t>
      </w:r>
      <w:r>
        <w:rPr>
          <w:sz w:val="24"/>
        </w:rPr>
        <w:t>herewith.</w:t>
      </w:r>
    </w:p>
    <w:p>
      <w:pPr>
        <w:spacing w:after="0" w:line="480" w:lineRule="auto"/>
        <w:jc w:val="both"/>
        <w:rPr>
          <w:sz w:val="24"/>
        </w:rPr>
        <w:sectPr>
          <w:pgSz w:w="12240" w:h="16350"/>
          <w:pgMar w:header="0" w:footer="1065" w:top="1460" w:bottom="1260" w:left="1420" w:right="1060"/>
        </w:sectPr>
      </w:pPr>
    </w:p>
    <w:p>
      <w:pPr>
        <w:pStyle w:val="ListParagraph"/>
        <w:numPr>
          <w:ilvl w:val="0"/>
          <w:numId w:val="1"/>
        </w:numPr>
        <w:tabs>
          <w:tab w:pos="1550" w:val="left" w:leader="none"/>
        </w:tabs>
        <w:spacing w:line="480" w:lineRule="auto" w:before="66" w:after="0"/>
        <w:ind w:left="110" w:right="287" w:firstLine="720"/>
        <w:jc w:val="both"/>
        <w:rPr>
          <w:sz w:val="24"/>
        </w:rPr>
      </w:pPr>
      <w:r>
        <w:rPr>
          <w:sz w:val="24"/>
        </w:rPr>
        <w:t>In summary, Plaintiffs argue that the jury’s verdict indicates that this is the type of case where both parties could fit the definition of prevailing party and thus, the Court should exercise its discretion to award no costs to any</w:t>
      </w:r>
      <w:r>
        <w:rPr>
          <w:spacing w:val="-6"/>
          <w:sz w:val="24"/>
        </w:rPr>
        <w:t> </w:t>
      </w:r>
      <w:r>
        <w:rPr>
          <w:sz w:val="24"/>
        </w:rPr>
        <w:t>party.</w:t>
      </w:r>
    </w:p>
    <w:p>
      <w:pPr>
        <w:pStyle w:val="Heading1"/>
        <w:numPr>
          <w:ilvl w:val="0"/>
          <w:numId w:val="3"/>
        </w:numPr>
        <w:tabs>
          <w:tab w:pos="830" w:val="left" w:leader="none"/>
        </w:tabs>
        <w:spacing w:line="240" w:lineRule="auto" w:before="3" w:after="0"/>
        <w:ind w:left="830" w:right="960" w:hanging="360"/>
        <w:jc w:val="left"/>
        <w:rPr>
          <w:u w:val="none"/>
        </w:rPr>
      </w:pPr>
      <w:r>
        <w:rPr>
          <w:u w:val="thick"/>
        </w:rPr>
        <w:t>Defendant Failed to Provide Sufficient Documentary Support for the Claimed Costs.</w:t>
      </w:r>
    </w:p>
    <w:p>
      <w:pPr>
        <w:pStyle w:val="BodyText"/>
        <w:spacing w:before="11"/>
        <w:rPr>
          <w:b/>
          <w:sz w:val="15"/>
        </w:rPr>
      </w:pPr>
    </w:p>
    <w:p>
      <w:pPr>
        <w:pStyle w:val="ListParagraph"/>
        <w:numPr>
          <w:ilvl w:val="0"/>
          <w:numId w:val="1"/>
        </w:numPr>
        <w:tabs>
          <w:tab w:pos="1550" w:val="left" w:leader="none"/>
        </w:tabs>
        <w:spacing w:line="480" w:lineRule="auto" w:before="90" w:after="0"/>
        <w:ind w:left="110" w:right="197" w:firstLine="720"/>
        <w:jc w:val="both"/>
        <w:rPr>
          <w:sz w:val="24"/>
        </w:rPr>
      </w:pPr>
      <w:r>
        <w:rPr>
          <w:sz w:val="24"/>
        </w:rPr>
        <w:t>The Plaintiff's bill of costs does not provide an analysis of the costs incurred or argument to support the award of costs as to any category of fees. The burden is on the requesting party to provide “sufficient information and supporting documentation to allow [the court] to make a reasoned decision for each cost item presented.” </w:t>
      </w:r>
      <w:r>
        <w:rPr>
          <w:i/>
          <w:sz w:val="24"/>
        </w:rPr>
        <w:t>City of Aurora v. Simpson, </w:t>
      </w:r>
      <w:r>
        <w:rPr>
          <w:sz w:val="24"/>
        </w:rPr>
        <w:t>105 P.3d 595 at 627 (Colo. 2005); </w:t>
      </w:r>
      <w:r>
        <w:rPr>
          <w:i/>
          <w:sz w:val="24"/>
        </w:rPr>
        <w:t>see also Brody v . Hellman, </w:t>
      </w:r>
      <w:r>
        <w:rPr>
          <w:sz w:val="24"/>
        </w:rPr>
        <w:t>167 P.3d 192, 206 (Colo.App.2007), </w:t>
      </w:r>
      <w:r>
        <w:rPr>
          <w:i/>
          <w:sz w:val="24"/>
        </w:rPr>
        <w:t>Cherry </w:t>
      </w:r>
      <w:r>
        <w:rPr>
          <w:i/>
          <w:sz w:val="24"/>
        </w:rPr>
        <w:t>Creek School District v. Voelker, </w:t>
      </w:r>
      <w:r>
        <w:rPr>
          <w:sz w:val="24"/>
        </w:rPr>
        <w:t>859 P.2d 805 at 812 - 814 (Colo. 1993); </w:t>
      </w:r>
      <w:r>
        <w:rPr>
          <w:i/>
          <w:sz w:val="24"/>
        </w:rPr>
        <w:t>American Water </w:t>
      </w:r>
      <w:r>
        <w:rPr>
          <w:i/>
          <w:sz w:val="24"/>
        </w:rPr>
        <w:t>Development, Inc. v. City of Alamosa, </w:t>
      </w:r>
      <w:r>
        <w:rPr>
          <w:sz w:val="24"/>
        </w:rPr>
        <w:t>874 P.2d 352 at 387 (Colo. 1994). A review of the filling shows</w:t>
      </w:r>
      <w:r>
        <w:rPr>
          <w:spacing w:val="14"/>
          <w:sz w:val="24"/>
        </w:rPr>
        <w:t> </w:t>
      </w:r>
      <w:r>
        <w:rPr>
          <w:sz w:val="24"/>
          <w:u w:val="single"/>
        </w:rPr>
        <w:t>no</w:t>
      </w:r>
      <w:r>
        <w:rPr>
          <w:spacing w:val="14"/>
          <w:sz w:val="24"/>
          <w:u w:val="single"/>
        </w:rPr>
        <w:t> </w:t>
      </w:r>
      <w:r>
        <w:rPr>
          <w:sz w:val="24"/>
          <w:u w:val="single"/>
        </w:rPr>
        <w:t>documentary</w:t>
      </w:r>
      <w:r>
        <w:rPr>
          <w:spacing w:val="15"/>
          <w:sz w:val="24"/>
          <w:u w:val="single"/>
        </w:rPr>
        <w:t> </w:t>
      </w:r>
      <w:r>
        <w:rPr>
          <w:sz w:val="24"/>
          <w:u w:val="single"/>
        </w:rPr>
        <w:t>support</w:t>
      </w:r>
      <w:r>
        <w:rPr>
          <w:spacing w:val="15"/>
          <w:sz w:val="24"/>
          <w:u w:val="single"/>
        </w:rPr>
        <w:t> </w:t>
      </w:r>
      <w:r>
        <w:rPr>
          <w:sz w:val="24"/>
          <w:u w:val="single"/>
        </w:rPr>
        <w:t>for</w:t>
      </w:r>
      <w:r>
        <w:rPr>
          <w:spacing w:val="15"/>
          <w:sz w:val="24"/>
          <w:u w:val="single"/>
        </w:rPr>
        <w:t> </w:t>
      </w:r>
      <w:r>
        <w:rPr>
          <w:sz w:val="24"/>
          <w:u w:val="single"/>
        </w:rPr>
        <w:t>any</w:t>
      </w:r>
      <w:r>
        <w:rPr>
          <w:spacing w:val="15"/>
          <w:sz w:val="24"/>
          <w:u w:val="single"/>
        </w:rPr>
        <w:t> </w:t>
      </w:r>
      <w:r>
        <w:rPr>
          <w:sz w:val="24"/>
          <w:u w:val="single"/>
        </w:rPr>
        <w:t>of</w:t>
      </w:r>
      <w:r>
        <w:rPr>
          <w:spacing w:val="13"/>
          <w:sz w:val="24"/>
          <w:u w:val="single"/>
        </w:rPr>
        <w:t> </w:t>
      </w:r>
      <w:r>
        <w:rPr>
          <w:sz w:val="24"/>
          <w:u w:val="single"/>
        </w:rPr>
        <w:t>the</w:t>
      </w:r>
      <w:r>
        <w:rPr>
          <w:spacing w:val="14"/>
          <w:sz w:val="24"/>
          <w:u w:val="single"/>
        </w:rPr>
        <w:t> </w:t>
      </w:r>
      <w:r>
        <w:rPr>
          <w:sz w:val="24"/>
          <w:u w:val="single"/>
        </w:rPr>
        <w:t>claimed</w:t>
      </w:r>
      <w:r>
        <w:rPr>
          <w:spacing w:val="15"/>
          <w:sz w:val="24"/>
          <w:u w:val="single"/>
        </w:rPr>
        <w:t> </w:t>
      </w:r>
      <w:r>
        <w:rPr>
          <w:sz w:val="24"/>
          <w:u w:val="single"/>
        </w:rPr>
        <w:t>costs</w:t>
      </w:r>
      <w:r>
        <w:rPr>
          <w:sz w:val="24"/>
        </w:rPr>
        <w:t>.</w:t>
      </w:r>
      <w:r>
        <w:rPr>
          <w:spacing w:val="14"/>
          <w:sz w:val="24"/>
        </w:rPr>
        <w:t> </w:t>
      </w:r>
      <w:r>
        <w:rPr>
          <w:sz w:val="24"/>
        </w:rPr>
        <w:t>As</w:t>
      </w:r>
      <w:r>
        <w:rPr>
          <w:spacing w:val="14"/>
          <w:sz w:val="24"/>
        </w:rPr>
        <w:t> </w:t>
      </w:r>
      <w:r>
        <w:rPr>
          <w:sz w:val="24"/>
        </w:rPr>
        <w:t>such,</w:t>
      </w:r>
      <w:r>
        <w:rPr>
          <w:spacing w:val="15"/>
          <w:sz w:val="24"/>
        </w:rPr>
        <w:t> </w:t>
      </w:r>
      <w:r>
        <w:rPr>
          <w:sz w:val="24"/>
        </w:rPr>
        <w:t>sufficient</w:t>
      </w:r>
      <w:r>
        <w:rPr>
          <w:spacing w:val="15"/>
          <w:sz w:val="24"/>
        </w:rPr>
        <w:t> </w:t>
      </w:r>
      <w:r>
        <w:rPr>
          <w:sz w:val="24"/>
        </w:rPr>
        <w:t>information</w:t>
      </w:r>
      <w:r>
        <w:rPr>
          <w:spacing w:val="14"/>
          <w:sz w:val="24"/>
        </w:rPr>
        <w:t> </w:t>
      </w:r>
      <w:r>
        <w:rPr>
          <w:sz w:val="24"/>
        </w:rPr>
        <w:t>and</w:t>
      </w:r>
    </w:p>
    <w:p>
      <w:pPr>
        <w:pStyle w:val="BodyText"/>
        <w:spacing w:line="480" w:lineRule="auto"/>
        <w:ind w:left="109" w:right="392"/>
      </w:pPr>
      <w:r>
        <w:rPr/>
        <w:t>supporting documentation is not present to allow the court to make a reasoned decision for each cost item presented by defendant. Accordingly, Defendant failed to meet his burden.</w:t>
      </w:r>
    </w:p>
    <w:p>
      <w:pPr>
        <w:pStyle w:val="ListParagraph"/>
        <w:numPr>
          <w:ilvl w:val="0"/>
          <w:numId w:val="1"/>
        </w:numPr>
        <w:tabs>
          <w:tab w:pos="1550" w:val="left" w:leader="none"/>
        </w:tabs>
        <w:spacing w:line="480" w:lineRule="auto" w:before="0" w:after="0"/>
        <w:ind w:left="110" w:right="286" w:firstLine="720"/>
        <w:jc w:val="both"/>
        <w:rPr>
          <w:sz w:val="24"/>
        </w:rPr>
      </w:pPr>
      <w:r>
        <w:rPr>
          <w:sz w:val="24"/>
        </w:rPr>
        <w:t>Plaintiffs do not dispute that C.R.S. § 13-16-104 and 105 allow a prevailing party to recover his costs against the opposing party, should the Court decide to make such a determination. However, the trial court retains discretion to decide which costs are to be included in the assessment, even when the assessment is required by statute. </w:t>
      </w:r>
      <w:r>
        <w:rPr>
          <w:i/>
          <w:sz w:val="24"/>
        </w:rPr>
        <w:t>See Bowers v. Loveland </w:t>
      </w:r>
      <w:r>
        <w:rPr>
          <w:i/>
          <w:sz w:val="24"/>
        </w:rPr>
        <w:t>Publishing Co., </w:t>
      </w:r>
      <w:r>
        <w:rPr>
          <w:sz w:val="24"/>
        </w:rPr>
        <w:t>773 P.2d 595, 596 (Colo.App. 1989). This discretion allows courts to prevent cost awards that are manifestly unreasonable and unjust. </w:t>
      </w:r>
      <w:r>
        <w:rPr>
          <w:i/>
          <w:sz w:val="24"/>
        </w:rPr>
        <w:t>See Scholz v. Metropolitan </w:t>
      </w:r>
      <w:r>
        <w:rPr>
          <w:i/>
          <w:sz w:val="24"/>
        </w:rPr>
        <w:t>Pathologists, P.C. </w:t>
      </w:r>
      <w:r>
        <w:rPr>
          <w:sz w:val="24"/>
        </w:rPr>
        <w:t>851 P.2d 901 (Colo.</w:t>
      </w:r>
      <w:r>
        <w:rPr>
          <w:spacing w:val="-1"/>
          <w:sz w:val="24"/>
        </w:rPr>
        <w:t> </w:t>
      </w:r>
      <w:r>
        <w:rPr>
          <w:sz w:val="24"/>
        </w:rPr>
        <w:t>1993).</w:t>
      </w:r>
    </w:p>
    <w:p>
      <w:pPr>
        <w:pStyle w:val="ListParagraph"/>
        <w:numPr>
          <w:ilvl w:val="0"/>
          <w:numId w:val="1"/>
        </w:numPr>
        <w:tabs>
          <w:tab w:pos="1550" w:val="left" w:leader="none"/>
        </w:tabs>
        <w:spacing w:line="480" w:lineRule="auto" w:before="0" w:after="0"/>
        <w:ind w:left="110" w:right="288" w:firstLine="720"/>
        <w:jc w:val="both"/>
        <w:rPr>
          <w:i/>
          <w:sz w:val="24"/>
        </w:rPr>
      </w:pPr>
      <w:r>
        <w:rPr>
          <w:sz w:val="24"/>
        </w:rPr>
        <w:t>In Defendant’s bill of costs, none of the claimed costs are supported by an invoice, bill, or affidavit. The entries are vague and fail to satisfy Defendant’s burden. </w:t>
      </w:r>
      <w:r>
        <w:rPr>
          <w:i/>
          <w:sz w:val="24"/>
        </w:rPr>
        <w:t>See</w:t>
      </w:r>
      <w:r>
        <w:rPr>
          <w:i/>
          <w:spacing w:val="36"/>
          <w:sz w:val="24"/>
        </w:rPr>
        <w:t> </w:t>
      </w:r>
      <w:r>
        <w:rPr>
          <w:i/>
          <w:sz w:val="24"/>
        </w:rPr>
        <w:t>Brody</w:t>
      </w:r>
    </w:p>
    <w:p>
      <w:pPr>
        <w:spacing w:after="0" w:line="480" w:lineRule="auto"/>
        <w:jc w:val="both"/>
        <w:rPr>
          <w:sz w:val="24"/>
        </w:rPr>
        <w:sectPr>
          <w:pgSz w:w="12240" w:h="16350"/>
          <w:pgMar w:header="0" w:footer="1065" w:top="1460" w:bottom="1260" w:left="1420" w:right="1060"/>
        </w:sectPr>
      </w:pPr>
    </w:p>
    <w:p>
      <w:pPr>
        <w:spacing w:before="66"/>
        <w:ind w:left="110" w:right="0" w:firstLine="0"/>
        <w:jc w:val="left"/>
        <w:rPr>
          <w:sz w:val="24"/>
        </w:rPr>
      </w:pPr>
      <w:r>
        <w:rPr>
          <w:i/>
          <w:sz w:val="24"/>
        </w:rPr>
        <w:t>v. Hellman</w:t>
      </w:r>
      <w:r>
        <w:rPr>
          <w:sz w:val="24"/>
        </w:rPr>
        <w:t>, 167 P.3d 192 (Colo. App. 2007).</w:t>
      </w:r>
    </w:p>
    <w:p>
      <w:pPr>
        <w:pStyle w:val="BodyText"/>
      </w:pPr>
    </w:p>
    <w:p>
      <w:pPr>
        <w:pStyle w:val="ListParagraph"/>
        <w:numPr>
          <w:ilvl w:val="0"/>
          <w:numId w:val="1"/>
        </w:numPr>
        <w:tabs>
          <w:tab w:pos="1550" w:val="left" w:leader="none"/>
        </w:tabs>
        <w:spacing w:line="480" w:lineRule="auto" w:before="0" w:after="0"/>
        <w:ind w:left="110" w:right="287" w:firstLine="720"/>
        <w:jc w:val="both"/>
        <w:rPr>
          <w:sz w:val="24"/>
        </w:rPr>
      </w:pPr>
      <w:r>
        <w:rPr>
          <w:sz w:val="24"/>
        </w:rPr>
        <w:t>Should the Court want to rest on Defendant counsel’s signed bill of costs as sufficient to award same, Plaintiffs present case law to the contrary. </w:t>
      </w:r>
      <w:r>
        <w:rPr>
          <w:i/>
          <w:sz w:val="24"/>
        </w:rPr>
        <w:t>See Brody, </w:t>
      </w:r>
      <w:r>
        <w:rPr>
          <w:sz w:val="24"/>
        </w:rPr>
        <w:t>167 P.3d at 206- 07 (reversing an award of costs where the trial court relied solely on the word of the prevailing party’s counsel and failed to require any documentation of expenses claimed as costs); </w:t>
      </w:r>
      <w:r>
        <w:rPr>
          <w:i/>
          <w:sz w:val="24"/>
        </w:rPr>
        <w:t>Keith v. </w:t>
      </w:r>
      <w:r>
        <w:rPr>
          <w:i/>
          <w:sz w:val="24"/>
        </w:rPr>
        <w:t>Kinney, </w:t>
      </w:r>
      <w:r>
        <w:rPr>
          <w:sz w:val="24"/>
        </w:rPr>
        <w:t>140 P.3d 141, 153 (Colo. App. 2005) (stating that even affidavits containing conclusory statements without factual support are insufficient as a matter of</w:t>
      </w:r>
      <w:r>
        <w:rPr>
          <w:spacing w:val="-5"/>
          <w:sz w:val="24"/>
        </w:rPr>
        <w:t> </w:t>
      </w:r>
      <w:r>
        <w:rPr>
          <w:sz w:val="24"/>
        </w:rPr>
        <w:t>law).</w:t>
      </w:r>
    </w:p>
    <w:p>
      <w:pPr>
        <w:pStyle w:val="ListParagraph"/>
        <w:numPr>
          <w:ilvl w:val="0"/>
          <w:numId w:val="1"/>
        </w:numPr>
        <w:tabs>
          <w:tab w:pos="1550" w:val="left" w:leader="none"/>
        </w:tabs>
        <w:spacing w:line="480" w:lineRule="auto" w:before="0" w:after="0"/>
        <w:ind w:left="110" w:right="287" w:firstLine="720"/>
        <w:jc w:val="both"/>
        <w:rPr>
          <w:sz w:val="24"/>
        </w:rPr>
      </w:pPr>
      <w:r>
        <w:rPr>
          <w:sz w:val="24"/>
        </w:rPr>
        <w:t>Importantly, Defendant’s conclusion notes that there are additional “invoices and amounts [that are not included in his bill of costs] because bills have not been received from the venders performing the services….” Such a statement implies that Defendant has invoices and documentary evidence for his current bill of costs, which he failed to attach to his bill of costs as support. Thus, Defendant failed to meet his burden as to the current bill of costs, and it should be denied in its entirety on that basis. Finally, this court ordered defendant to produce his bill of costs by May 26, 17, not to reserve costs, arguably incurred two years ago, for submission at a later</w:t>
      </w:r>
      <w:r>
        <w:rPr>
          <w:spacing w:val="-1"/>
          <w:sz w:val="24"/>
        </w:rPr>
        <w:t> </w:t>
      </w:r>
      <w:r>
        <w:rPr>
          <w:sz w:val="24"/>
        </w:rPr>
        <w:t>date.</w:t>
      </w:r>
    </w:p>
    <w:p>
      <w:pPr>
        <w:pStyle w:val="ListParagraph"/>
        <w:numPr>
          <w:ilvl w:val="0"/>
          <w:numId w:val="1"/>
        </w:numPr>
        <w:tabs>
          <w:tab w:pos="1550" w:val="left" w:leader="none"/>
        </w:tabs>
        <w:spacing w:line="480" w:lineRule="auto" w:before="0" w:after="0"/>
        <w:ind w:left="110" w:right="287" w:firstLine="630"/>
        <w:jc w:val="both"/>
        <w:rPr>
          <w:sz w:val="24"/>
        </w:rPr>
      </w:pPr>
      <w:r>
        <w:rPr>
          <w:sz w:val="24"/>
        </w:rPr>
        <w:t>Defendant claims cost for a trial transcript in the amount of $194.25. This cost was incurred in the prior PPO hearing ending in December 2015. C.R.S. § 13-14-109 governs  the award of fees and costs for protection order hearings. Defendant moved for attorney fees, the court denied same and stated nothing regarding costs in the PPO hearing where the court can note, defendant failed to request same. Nowhere in the statute is a respondent, here Defendant, entitled to costs for “prevailing” where a court does not award a permanent protection</w:t>
      </w:r>
      <w:r>
        <w:rPr>
          <w:spacing w:val="-15"/>
          <w:sz w:val="24"/>
        </w:rPr>
        <w:t> </w:t>
      </w:r>
      <w:r>
        <w:rPr>
          <w:sz w:val="24"/>
        </w:rPr>
        <w:t>order.</w:t>
      </w:r>
    </w:p>
    <w:p>
      <w:pPr>
        <w:pStyle w:val="Heading1"/>
        <w:numPr>
          <w:ilvl w:val="0"/>
          <w:numId w:val="3"/>
        </w:numPr>
        <w:tabs>
          <w:tab w:pos="830" w:val="left" w:leader="none"/>
        </w:tabs>
        <w:spacing w:line="240" w:lineRule="auto" w:before="2" w:after="0"/>
        <w:ind w:left="830" w:right="288" w:hanging="360"/>
        <w:jc w:val="left"/>
        <w:rPr>
          <w:u w:val="none"/>
        </w:rPr>
      </w:pPr>
      <w:r>
        <w:rPr>
          <w:u w:val="thick"/>
        </w:rPr>
        <w:t>Notwithstanding lack of support, Defendant’s costs for service of process and subpoenas is excessive and</w:t>
      </w:r>
      <w:r>
        <w:rPr>
          <w:spacing w:val="-3"/>
          <w:u w:val="thick"/>
        </w:rPr>
        <w:t> </w:t>
      </w:r>
      <w:r>
        <w:rPr>
          <w:u w:val="thick"/>
        </w:rPr>
        <w:t>unnecessary.</w:t>
      </w:r>
    </w:p>
    <w:p>
      <w:pPr>
        <w:pStyle w:val="BodyText"/>
        <w:rPr>
          <w:b/>
          <w:sz w:val="16"/>
        </w:rPr>
      </w:pPr>
    </w:p>
    <w:p>
      <w:pPr>
        <w:pStyle w:val="ListParagraph"/>
        <w:numPr>
          <w:ilvl w:val="0"/>
          <w:numId w:val="1"/>
        </w:numPr>
        <w:tabs>
          <w:tab w:pos="1549" w:val="left" w:leader="none"/>
          <w:tab w:pos="1550" w:val="left" w:leader="none"/>
        </w:tabs>
        <w:spacing w:line="240" w:lineRule="auto" w:before="90" w:after="0"/>
        <w:ind w:left="1550" w:right="0" w:hanging="720"/>
        <w:jc w:val="left"/>
        <w:rPr>
          <w:sz w:val="24"/>
        </w:rPr>
      </w:pPr>
      <w:r>
        <w:rPr>
          <w:sz w:val="24"/>
        </w:rPr>
        <w:t>Defendant claims $608 in “service of process/subpoenas,” pursuant to C.R.S.</w:t>
      </w:r>
      <w:r>
        <w:rPr>
          <w:spacing w:val="6"/>
          <w:sz w:val="24"/>
        </w:rPr>
        <w:t> </w:t>
      </w:r>
      <w:r>
        <w:rPr>
          <w:sz w:val="24"/>
        </w:rPr>
        <w:t>§</w:t>
      </w:r>
    </w:p>
    <w:p>
      <w:pPr>
        <w:spacing w:after="0" w:line="240" w:lineRule="auto"/>
        <w:jc w:val="left"/>
        <w:rPr>
          <w:sz w:val="24"/>
        </w:rPr>
        <w:sectPr>
          <w:pgSz w:w="12240" w:h="16350"/>
          <w:pgMar w:header="0" w:footer="1065" w:top="1460" w:bottom="1260" w:left="1420" w:right="1060"/>
        </w:sectPr>
      </w:pPr>
    </w:p>
    <w:p>
      <w:pPr>
        <w:pStyle w:val="BodyText"/>
        <w:spacing w:before="66"/>
        <w:ind w:left="110"/>
      </w:pPr>
      <w:r>
        <w:rPr/>
        <w:t>13-16-122(g).</w:t>
      </w:r>
    </w:p>
    <w:p>
      <w:pPr>
        <w:pStyle w:val="BodyText"/>
      </w:pPr>
    </w:p>
    <w:p>
      <w:pPr>
        <w:pStyle w:val="ListParagraph"/>
        <w:numPr>
          <w:ilvl w:val="0"/>
          <w:numId w:val="1"/>
        </w:numPr>
        <w:tabs>
          <w:tab w:pos="1550" w:val="left" w:leader="none"/>
        </w:tabs>
        <w:spacing w:line="480" w:lineRule="auto" w:before="0" w:after="0"/>
        <w:ind w:left="110" w:right="287" w:firstLine="720"/>
        <w:jc w:val="both"/>
        <w:rPr>
          <w:sz w:val="24"/>
        </w:rPr>
      </w:pPr>
      <w:r>
        <w:rPr>
          <w:sz w:val="24"/>
        </w:rPr>
        <w:t>At trial, Defendant called the parties and one fact witness beyond subpoena power in Germany. Thus, any subpoena costs beyond that necessary to attempt to produce Mr. Osborn for trial were not necessary for the litigation and are excessive in light of Defendant’s election not to enforce any subpoena issued. Further, any subpoena’s issued for any other witnesses were unnecessary as defendant called no subpoenaed witness where he could reasonably claim recovery of the</w:t>
      </w:r>
      <w:r>
        <w:rPr>
          <w:spacing w:val="-2"/>
          <w:sz w:val="24"/>
        </w:rPr>
        <w:t> </w:t>
      </w:r>
      <w:r>
        <w:rPr>
          <w:sz w:val="24"/>
        </w:rPr>
        <w:t>expense.</w:t>
      </w:r>
    </w:p>
    <w:p>
      <w:pPr>
        <w:pStyle w:val="ListParagraph"/>
        <w:numPr>
          <w:ilvl w:val="0"/>
          <w:numId w:val="1"/>
        </w:numPr>
        <w:tabs>
          <w:tab w:pos="1550" w:val="left" w:leader="none"/>
        </w:tabs>
        <w:spacing w:line="480" w:lineRule="auto" w:before="0" w:after="0"/>
        <w:ind w:left="110" w:right="197" w:firstLine="720"/>
        <w:jc w:val="both"/>
        <w:rPr>
          <w:sz w:val="24"/>
        </w:rPr>
      </w:pPr>
      <w:r>
        <w:rPr>
          <w:sz w:val="24"/>
        </w:rPr>
        <w:t>Without support, Plaintiffs, and more importantly the Court, cannot make an exact determination as to the necessity or reasonableness of any of these costs, and as such, they should be denied in their entirety for Defendant’s failure to meet his most basic evidentiary</w:t>
      </w:r>
      <w:r>
        <w:rPr>
          <w:spacing w:val="-14"/>
          <w:sz w:val="24"/>
        </w:rPr>
        <w:t> </w:t>
      </w:r>
      <w:r>
        <w:rPr>
          <w:sz w:val="24"/>
        </w:rPr>
        <w:t>burden.</w:t>
      </w:r>
    </w:p>
    <w:p>
      <w:pPr>
        <w:pStyle w:val="Heading1"/>
        <w:numPr>
          <w:ilvl w:val="0"/>
          <w:numId w:val="3"/>
        </w:numPr>
        <w:tabs>
          <w:tab w:pos="830" w:val="left" w:leader="none"/>
        </w:tabs>
        <w:spacing w:line="240" w:lineRule="auto" w:before="3" w:after="0"/>
        <w:ind w:left="830" w:right="1209" w:hanging="360"/>
        <w:jc w:val="left"/>
        <w:rPr>
          <w:u w:val="none"/>
        </w:rPr>
      </w:pPr>
      <w:r>
        <w:rPr>
          <w:u w:val="thick"/>
        </w:rPr>
        <w:t>Notwithstanding lack of support, Defendant’s travel costs are irregular</w:t>
      </w:r>
      <w:r>
        <w:rPr>
          <w:spacing w:val="-24"/>
          <w:u w:val="thick"/>
        </w:rPr>
        <w:t> </w:t>
      </w:r>
      <w:r>
        <w:rPr>
          <w:u w:val="thick"/>
        </w:rPr>
        <w:t>and excessive.</w:t>
      </w:r>
    </w:p>
    <w:p>
      <w:pPr>
        <w:pStyle w:val="BodyText"/>
        <w:rPr>
          <w:b/>
          <w:sz w:val="16"/>
        </w:rPr>
      </w:pPr>
    </w:p>
    <w:p>
      <w:pPr>
        <w:pStyle w:val="ListParagraph"/>
        <w:numPr>
          <w:ilvl w:val="0"/>
          <w:numId w:val="1"/>
        </w:numPr>
        <w:tabs>
          <w:tab w:pos="1550" w:val="left" w:leader="none"/>
        </w:tabs>
        <w:spacing w:line="480" w:lineRule="auto" w:before="90" w:after="0"/>
        <w:ind w:left="110" w:right="288" w:firstLine="720"/>
        <w:jc w:val="both"/>
        <w:rPr>
          <w:sz w:val="24"/>
        </w:rPr>
      </w:pPr>
      <w:r>
        <w:rPr>
          <w:sz w:val="24"/>
        </w:rPr>
        <w:t>Defendant calculates travel costs for prior counsel, lead counsel and associate counsel, totaling $130.90 for 242.4</w:t>
      </w:r>
      <w:r>
        <w:rPr>
          <w:spacing w:val="-4"/>
          <w:sz w:val="24"/>
        </w:rPr>
        <w:t> </w:t>
      </w:r>
      <w:r>
        <w:rPr>
          <w:sz w:val="24"/>
        </w:rPr>
        <w:t>miles.</w:t>
      </w:r>
    </w:p>
    <w:p>
      <w:pPr>
        <w:pStyle w:val="ListParagraph"/>
        <w:numPr>
          <w:ilvl w:val="0"/>
          <w:numId w:val="1"/>
        </w:numPr>
        <w:tabs>
          <w:tab w:pos="1550" w:val="left" w:leader="none"/>
        </w:tabs>
        <w:spacing w:line="480" w:lineRule="auto" w:before="0" w:after="0"/>
        <w:ind w:left="110" w:right="287" w:firstLine="720"/>
        <w:jc w:val="both"/>
        <w:rPr>
          <w:sz w:val="24"/>
        </w:rPr>
      </w:pPr>
      <w:r>
        <w:rPr>
          <w:sz w:val="24"/>
        </w:rPr>
        <w:t>As noted in more detail in Plaintiffs’ Motion and Reply thereto, any costs for prior counsel relating to the permanent protection order hearing should not be granted, as Defendant had his chance to timely request same and waived that opportunity. Further, the Court denied a motion for attorney’s fees and costs pursuant to C.R.S. § 13-17-102. Finally, the plain language of the costs statute for such hearings does not support an award for Defendant. </w:t>
      </w:r>
      <w:r>
        <w:rPr>
          <w:i/>
          <w:sz w:val="24"/>
        </w:rPr>
        <w:t>See </w:t>
      </w:r>
      <w:r>
        <w:rPr>
          <w:sz w:val="24"/>
        </w:rPr>
        <w:t>C.R.S. §</w:t>
      </w:r>
      <w:r>
        <w:rPr>
          <w:spacing w:val="-1"/>
          <w:sz w:val="24"/>
        </w:rPr>
        <w:t> </w:t>
      </w:r>
      <w:r>
        <w:rPr>
          <w:sz w:val="24"/>
        </w:rPr>
        <w:t>13-14-109(3).</w:t>
      </w:r>
    </w:p>
    <w:p>
      <w:pPr>
        <w:pStyle w:val="ListParagraph"/>
        <w:numPr>
          <w:ilvl w:val="0"/>
          <w:numId w:val="1"/>
        </w:numPr>
        <w:tabs>
          <w:tab w:pos="1550" w:val="left" w:leader="none"/>
        </w:tabs>
        <w:spacing w:line="480" w:lineRule="auto" w:before="0" w:after="0"/>
        <w:ind w:left="110" w:right="287" w:firstLine="720"/>
        <w:jc w:val="both"/>
        <w:rPr>
          <w:sz w:val="24"/>
        </w:rPr>
      </w:pPr>
      <w:r>
        <w:rPr>
          <w:sz w:val="24"/>
        </w:rPr>
        <w:t>Since the permanent protection order issue was decided in or about December of 2015, associated costs, and, as relevant here, prior counsel’s travel costs, are not awardable at this stage simply because the case progressed into a different form of</w:t>
      </w:r>
      <w:r>
        <w:rPr>
          <w:spacing w:val="-9"/>
          <w:sz w:val="24"/>
        </w:rPr>
        <w:t> </w:t>
      </w:r>
      <w:r>
        <w:rPr>
          <w:sz w:val="24"/>
        </w:rPr>
        <w:t>litigation.</w:t>
      </w:r>
    </w:p>
    <w:p>
      <w:pPr>
        <w:pStyle w:val="ListParagraph"/>
        <w:numPr>
          <w:ilvl w:val="0"/>
          <w:numId w:val="1"/>
        </w:numPr>
        <w:tabs>
          <w:tab w:pos="1549" w:val="left" w:leader="none"/>
          <w:tab w:pos="1550" w:val="left" w:leader="none"/>
        </w:tabs>
        <w:spacing w:line="240" w:lineRule="auto" w:before="0" w:after="0"/>
        <w:ind w:left="1550" w:right="0" w:hanging="720"/>
        <w:jc w:val="left"/>
        <w:rPr>
          <w:sz w:val="24"/>
        </w:rPr>
      </w:pPr>
      <w:r>
        <w:rPr>
          <w:sz w:val="24"/>
        </w:rPr>
        <w:t>Likewise, a reduction of any filing costs associated with that prior phase</w:t>
      </w:r>
      <w:r>
        <w:rPr>
          <w:spacing w:val="42"/>
          <w:sz w:val="24"/>
        </w:rPr>
        <w:t> </w:t>
      </w:r>
      <w:r>
        <w:rPr>
          <w:sz w:val="24"/>
        </w:rPr>
        <w:t>of</w:t>
      </w:r>
    </w:p>
    <w:p>
      <w:pPr>
        <w:spacing w:after="0" w:line="240" w:lineRule="auto"/>
        <w:jc w:val="left"/>
        <w:rPr>
          <w:sz w:val="24"/>
        </w:rPr>
        <w:sectPr>
          <w:pgSz w:w="12240" w:h="16350"/>
          <w:pgMar w:header="0" w:footer="1065" w:top="1460" w:bottom="1260" w:left="1420" w:right="1060"/>
        </w:sectPr>
      </w:pPr>
    </w:p>
    <w:p>
      <w:pPr>
        <w:pStyle w:val="BodyText"/>
        <w:spacing w:line="480" w:lineRule="auto" w:before="66"/>
        <w:ind w:left="110" w:right="286"/>
        <w:jc w:val="both"/>
      </w:pPr>
      <w:r>
        <w:rPr/>
        <w:t>litigation should be reduced from Defendant’s Bill of Costs. Since there is no support for any of the filing fees and costs, Plaintiffs are unable to specify or identify any amounts attributable to that time period.</w:t>
      </w:r>
    </w:p>
    <w:p>
      <w:pPr>
        <w:pStyle w:val="ListParagraph"/>
        <w:numPr>
          <w:ilvl w:val="0"/>
          <w:numId w:val="1"/>
        </w:numPr>
        <w:tabs>
          <w:tab w:pos="1550" w:val="left" w:leader="none"/>
        </w:tabs>
        <w:spacing w:line="480" w:lineRule="auto" w:before="0" w:after="0"/>
        <w:ind w:left="110" w:right="286" w:firstLine="720"/>
        <w:jc w:val="both"/>
        <w:rPr>
          <w:sz w:val="24"/>
        </w:rPr>
      </w:pPr>
      <w:r>
        <w:rPr>
          <w:sz w:val="24"/>
        </w:rPr>
        <w:t>Plainly, the controlling statute says what it says. The appropriate reduction in mileage for prior counsel would be $22.15 to a total of $4.43 for one post-hearing appearance on March 24, 2016. The appropriate reduction for filing fees is impossible to determine due to lack of support for Defendant’s claimed costs and should be stricken in their entirety, as noted</w:t>
      </w:r>
      <w:r>
        <w:rPr>
          <w:spacing w:val="-16"/>
          <w:sz w:val="24"/>
        </w:rPr>
        <w:t> </w:t>
      </w:r>
      <w:r>
        <w:rPr>
          <w:sz w:val="24"/>
        </w:rPr>
        <w:t>above.</w:t>
      </w:r>
    </w:p>
    <w:p>
      <w:pPr>
        <w:pStyle w:val="ListParagraph"/>
        <w:numPr>
          <w:ilvl w:val="0"/>
          <w:numId w:val="1"/>
        </w:numPr>
        <w:tabs>
          <w:tab w:pos="1550" w:val="left" w:leader="none"/>
        </w:tabs>
        <w:spacing w:line="480" w:lineRule="auto" w:before="0" w:after="0"/>
        <w:ind w:left="110" w:right="287" w:firstLine="720"/>
        <w:jc w:val="both"/>
        <w:rPr>
          <w:sz w:val="24"/>
        </w:rPr>
      </w:pPr>
      <w:r>
        <w:rPr>
          <w:sz w:val="24"/>
        </w:rPr>
        <w:t>Additionally, Defendant claims mileage amounting to 33.6 miles per day for associate counsel in this case. However, the daily round trip mileage for counsel’s “Office to Denver District Court” does not comport with actual mileage between those points, as the court can note, defendant’s counsel’s office is a mere 8 blocks from the Denver County</w:t>
      </w:r>
      <w:r>
        <w:rPr>
          <w:spacing w:val="-9"/>
          <w:sz w:val="24"/>
        </w:rPr>
        <w:t> </w:t>
      </w:r>
      <w:r>
        <w:rPr>
          <w:sz w:val="24"/>
        </w:rPr>
        <w:t>Court.</w:t>
      </w:r>
    </w:p>
    <w:p>
      <w:pPr>
        <w:pStyle w:val="ListParagraph"/>
        <w:numPr>
          <w:ilvl w:val="0"/>
          <w:numId w:val="1"/>
        </w:numPr>
        <w:tabs>
          <w:tab w:pos="1550" w:val="left" w:leader="none"/>
        </w:tabs>
        <w:spacing w:line="480" w:lineRule="auto" w:before="1" w:after="0"/>
        <w:ind w:left="110" w:right="287" w:firstLine="720"/>
        <w:jc w:val="both"/>
        <w:rPr>
          <w:sz w:val="24"/>
        </w:rPr>
      </w:pPr>
      <w:r>
        <w:rPr>
          <w:sz w:val="24"/>
        </w:rPr>
        <w:t>Internet research shows that Defendant’s counsel maintains two office locations, one at 2020 S. Parker Road, Denver and one at 1435 Larimer Street, Denver. As noted above, sufficient support was not provided to substantiate from which location mileages are calculated, and such lack of support should be fatal to Defendant’s claim for such costs. As shown by Google</w:t>
      </w:r>
      <w:r>
        <w:rPr>
          <w:spacing w:val="7"/>
          <w:sz w:val="24"/>
        </w:rPr>
        <w:t> </w:t>
      </w:r>
      <w:r>
        <w:rPr>
          <w:sz w:val="24"/>
        </w:rPr>
        <w:t>Maps,</w:t>
      </w:r>
      <w:r>
        <w:rPr>
          <w:spacing w:val="8"/>
          <w:sz w:val="24"/>
        </w:rPr>
        <w:t> </w:t>
      </w:r>
      <w:r>
        <w:rPr>
          <w:sz w:val="24"/>
        </w:rPr>
        <w:t>the</w:t>
      </w:r>
      <w:r>
        <w:rPr>
          <w:spacing w:val="8"/>
          <w:sz w:val="24"/>
        </w:rPr>
        <w:t> </w:t>
      </w:r>
      <w:r>
        <w:rPr>
          <w:sz w:val="24"/>
        </w:rPr>
        <w:t>Larimer</w:t>
      </w:r>
      <w:r>
        <w:rPr>
          <w:spacing w:val="9"/>
          <w:sz w:val="24"/>
        </w:rPr>
        <w:t> </w:t>
      </w:r>
      <w:r>
        <w:rPr>
          <w:sz w:val="24"/>
        </w:rPr>
        <w:t>Street</w:t>
      </w:r>
      <w:r>
        <w:rPr>
          <w:spacing w:val="9"/>
          <w:sz w:val="24"/>
        </w:rPr>
        <w:t> </w:t>
      </w:r>
      <w:r>
        <w:rPr>
          <w:sz w:val="24"/>
        </w:rPr>
        <w:t>location</w:t>
      </w:r>
      <w:r>
        <w:rPr>
          <w:spacing w:val="8"/>
          <w:sz w:val="24"/>
        </w:rPr>
        <w:t> </w:t>
      </w:r>
      <w:r>
        <w:rPr>
          <w:sz w:val="24"/>
        </w:rPr>
        <w:t>is</w:t>
      </w:r>
      <w:r>
        <w:rPr>
          <w:spacing w:val="8"/>
          <w:sz w:val="24"/>
        </w:rPr>
        <w:t> </w:t>
      </w:r>
      <w:r>
        <w:rPr>
          <w:sz w:val="24"/>
        </w:rPr>
        <w:t>1.1</w:t>
      </w:r>
      <w:r>
        <w:rPr>
          <w:spacing w:val="8"/>
          <w:sz w:val="24"/>
        </w:rPr>
        <w:t> </w:t>
      </w:r>
      <w:r>
        <w:rPr>
          <w:sz w:val="24"/>
        </w:rPr>
        <w:t>miles</w:t>
      </w:r>
      <w:r>
        <w:rPr>
          <w:spacing w:val="7"/>
          <w:sz w:val="24"/>
        </w:rPr>
        <w:t> </w:t>
      </w:r>
      <w:r>
        <w:rPr>
          <w:sz w:val="24"/>
        </w:rPr>
        <w:t>from</w:t>
      </w:r>
      <w:r>
        <w:rPr>
          <w:spacing w:val="6"/>
          <w:sz w:val="24"/>
        </w:rPr>
        <w:t> </w:t>
      </w:r>
      <w:r>
        <w:rPr>
          <w:sz w:val="24"/>
        </w:rPr>
        <w:t>the</w:t>
      </w:r>
      <w:r>
        <w:rPr>
          <w:spacing w:val="8"/>
          <w:sz w:val="24"/>
        </w:rPr>
        <w:t> </w:t>
      </w:r>
      <w:r>
        <w:rPr>
          <w:sz w:val="24"/>
        </w:rPr>
        <w:t>Court,</w:t>
      </w:r>
      <w:r>
        <w:rPr>
          <w:spacing w:val="8"/>
          <w:sz w:val="24"/>
        </w:rPr>
        <w:t> </w:t>
      </w:r>
      <w:r>
        <w:rPr>
          <w:sz w:val="24"/>
        </w:rPr>
        <w:t>and</w:t>
      </w:r>
      <w:r>
        <w:rPr>
          <w:spacing w:val="8"/>
          <w:sz w:val="24"/>
        </w:rPr>
        <w:t> </w:t>
      </w:r>
      <w:r>
        <w:rPr>
          <w:sz w:val="24"/>
        </w:rPr>
        <w:t>the</w:t>
      </w:r>
      <w:r>
        <w:rPr>
          <w:spacing w:val="8"/>
          <w:sz w:val="24"/>
        </w:rPr>
        <w:t> </w:t>
      </w:r>
      <w:r>
        <w:rPr>
          <w:sz w:val="24"/>
        </w:rPr>
        <w:t>Parker</w:t>
      </w:r>
      <w:r>
        <w:rPr>
          <w:spacing w:val="7"/>
          <w:sz w:val="24"/>
        </w:rPr>
        <w:t> </w:t>
      </w:r>
      <w:r>
        <w:rPr>
          <w:sz w:val="24"/>
        </w:rPr>
        <w:t>location</w:t>
      </w:r>
      <w:r>
        <w:rPr>
          <w:spacing w:val="8"/>
          <w:sz w:val="24"/>
        </w:rPr>
        <w:t> </w:t>
      </w:r>
      <w:r>
        <w:rPr>
          <w:sz w:val="24"/>
        </w:rPr>
        <w:t>is</w:t>
      </w:r>
    </w:p>
    <w:p>
      <w:pPr>
        <w:pStyle w:val="BodyText"/>
        <w:spacing w:line="480" w:lineRule="auto"/>
        <w:ind w:left="110" w:right="287"/>
        <w:jc w:val="both"/>
      </w:pPr>
      <w:r>
        <w:rPr/>
        <w:t>8.4 miles from the Court. Thus, round trip travel for both locations should be 2.2 and 16.8 miles, respectively. Defendant claims 2.8 miles, presumably from the Larimer office, and 33.6 miles, presumably from the Parker office, for round trip mileage. Using the rate Defendant cites, at minimum, the mileage expenses should be reduced to $10.71 for lead counsel. Should the Court consider associate counsel’s mileage, it should be reduced to $45.35. As such, the maximum  sum the Court should award under this category is</w:t>
      </w:r>
      <w:r>
        <w:rPr>
          <w:spacing w:val="-7"/>
        </w:rPr>
        <w:t> </w:t>
      </w:r>
      <w:r>
        <w:rPr/>
        <w:t>$60.49.</w:t>
      </w:r>
    </w:p>
    <w:p>
      <w:pPr>
        <w:pStyle w:val="ListParagraph"/>
        <w:numPr>
          <w:ilvl w:val="0"/>
          <w:numId w:val="1"/>
        </w:numPr>
        <w:tabs>
          <w:tab w:pos="1549" w:val="left" w:leader="none"/>
          <w:tab w:pos="1550" w:val="left" w:leader="none"/>
        </w:tabs>
        <w:spacing w:line="240" w:lineRule="auto" w:before="0" w:after="0"/>
        <w:ind w:left="1550" w:right="0" w:hanging="720"/>
        <w:jc w:val="left"/>
        <w:rPr>
          <w:sz w:val="24"/>
        </w:rPr>
      </w:pPr>
      <w:r>
        <w:rPr>
          <w:sz w:val="24"/>
        </w:rPr>
        <w:t>The</w:t>
      </w:r>
      <w:r>
        <w:rPr>
          <w:spacing w:val="23"/>
          <w:sz w:val="24"/>
        </w:rPr>
        <w:t> </w:t>
      </w:r>
      <w:r>
        <w:rPr>
          <w:sz w:val="24"/>
        </w:rPr>
        <w:t>Court</w:t>
      </w:r>
      <w:r>
        <w:rPr>
          <w:spacing w:val="24"/>
          <w:sz w:val="24"/>
        </w:rPr>
        <w:t> </w:t>
      </w:r>
      <w:r>
        <w:rPr>
          <w:sz w:val="24"/>
        </w:rPr>
        <w:t>should</w:t>
      </w:r>
      <w:r>
        <w:rPr>
          <w:spacing w:val="24"/>
          <w:sz w:val="24"/>
        </w:rPr>
        <w:t> </w:t>
      </w:r>
      <w:r>
        <w:rPr>
          <w:sz w:val="24"/>
        </w:rPr>
        <w:t>also</w:t>
      </w:r>
      <w:r>
        <w:rPr>
          <w:spacing w:val="23"/>
          <w:sz w:val="24"/>
        </w:rPr>
        <w:t> </w:t>
      </w:r>
      <w:r>
        <w:rPr>
          <w:sz w:val="24"/>
        </w:rPr>
        <w:t>determine</w:t>
      </w:r>
      <w:r>
        <w:rPr>
          <w:spacing w:val="24"/>
          <w:sz w:val="24"/>
        </w:rPr>
        <w:t> </w:t>
      </w:r>
      <w:r>
        <w:rPr>
          <w:sz w:val="24"/>
        </w:rPr>
        <w:t>that</w:t>
      </w:r>
      <w:r>
        <w:rPr>
          <w:spacing w:val="24"/>
          <w:sz w:val="24"/>
        </w:rPr>
        <w:t> </w:t>
      </w:r>
      <w:r>
        <w:rPr>
          <w:sz w:val="24"/>
        </w:rPr>
        <w:t>costs</w:t>
      </w:r>
      <w:r>
        <w:rPr>
          <w:spacing w:val="24"/>
          <w:sz w:val="24"/>
        </w:rPr>
        <w:t> </w:t>
      </w:r>
      <w:r>
        <w:rPr>
          <w:sz w:val="24"/>
        </w:rPr>
        <w:t>for</w:t>
      </w:r>
      <w:r>
        <w:rPr>
          <w:spacing w:val="24"/>
          <w:sz w:val="24"/>
        </w:rPr>
        <w:t> </w:t>
      </w:r>
      <w:r>
        <w:rPr>
          <w:sz w:val="24"/>
        </w:rPr>
        <w:t>associate</w:t>
      </w:r>
      <w:r>
        <w:rPr>
          <w:spacing w:val="24"/>
          <w:sz w:val="24"/>
        </w:rPr>
        <w:t> </w:t>
      </w:r>
      <w:r>
        <w:rPr>
          <w:sz w:val="24"/>
        </w:rPr>
        <w:t>counsel’s</w:t>
      </w:r>
      <w:r>
        <w:rPr>
          <w:spacing w:val="23"/>
          <w:sz w:val="24"/>
        </w:rPr>
        <w:t> </w:t>
      </w:r>
      <w:r>
        <w:rPr>
          <w:sz w:val="24"/>
        </w:rPr>
        <w:t>travel</w:t>
      </w:r>
      <w:r>
        <w:rPr>
          <w:spacing w:val="23"/>
          <w:sz w:val="24"/>
        </w:rPr>
        <w:t> </w:t>
      </w:r>
      <w:r>
        <w:rPr>
          <w:sz w:val="24"/>
        </w:rPr>
        <w:t>should</w:t>
      </w:r>
    </w:p>
    <w:p>
      <w:pPr>
        <w:spacing w:after="0" w:line="240" w:lineRule="auto"/>
        <w:jc w:val="left"/>
        <w:rPr>
          <w:sz w:val="24"/>
        </w:rPr>
        <w:sectPr>
          <w:pgSz w:w="12240" w:h="16350"/>
          <w:pgMar w:header="0" w:footer="1065" w:top="1460" w:bottom="1260" w:left="1420" w:right="1060"/>
        </w:sectPr>
      </w:pPr>
    </w:p>
    <w:p>
      <w:pPr>
        <w:pStyle w:val="BodyText"/>
        <w:spacing w:line="480" w:lineRule="auto" w:before="66"/>
        <w:ind w:left="109" w:right="287"/>
        <w:jc w:val="both"/>
      </w:pPr>
      <w:r>
        <w:rPr/>
        <w:t>not be awarded, as no evidence indicated that lead counsel needed second chair or that she did not in fact work in the downtown office where the case was centrally located. As both sides acknowledged in closing argument, the case was simple and straightforward. Defendant fails to meet his burden to substantiate the necessity and reasonableness of such travel costs for second chair. The total sum the Court should award under this category, if any at all, is</w:t>
      </w:r>
      <w:r>
        <w:rPr>
          <w:spacing w:val="-13"/>
        </w:rPr>
        <w:t> </w:t>
      </w:r>
      <w:r>
        <w:rPr/>
        <w:t>$15.14.</w:t>
      </w:r>
    </w:p>
    <w:p>
      <w:pPr>
        <w:pStyle w:val="BodyText"/>
        <w:spacing w:line="480" w:lineRule="auto"/>
        <w:ind w:left="109" w:right="197" w:firstLine="720"/>
        <w:jc w:val="both"/>
      </w:pPr>
      <w:r>
        <w:rPr/>
        <w:t>WHEREFORE, Plaintiffs respectfully request this Court deny the award of Defendant’s Bill of Costs in its entirety for lack of evidentiary support, as well as for the reasons in Plaintiffs’ Motion to Reconsider and Reply thereto. Alternatively, Plaintiffs respectfully request the Court reduce Defendant’s Bill of Costs, in accordance with Plaintiffs’ arguments herein, as it deems fair and just under the circumstances.</w:t>
      </w:r>
    </w:p>
    <w:p>
      <w:pPr>
        <w:pStyle w:val="BodyText"/>
        <w:spacing w:before="1"/>
        <w:ind w:left="1550"/>
      </w:pPr>
      <w:r>
        <w:rPr/>
        <w:t>RESPECTFULLY SUBMITTED this 1</w:t>
      </w:r>
      <w:r>
        <w:rPr>
          <w:vertAlign w:val="superscript"/>
        </w:rPr>
        <w:t>st</w:t>
      </w:r>
      <w:r>
        <w:rPr>
          <w:vertAlign w:val="baseline"/>
        </w:rPr>
        <w:t> day of June, 2017.</w:t>
      </w:r>
    </w:p>
    <w:p>
      <w:pPr>
        <w:pStyle w:val="BodyText"/>
        <w:spacing w:before="11"/>
        <w:rPr>
          <w:sz w:val="23"/>
        </w:rPr>
      </w:pPr>
    </w:p>
    <w:p>
      <w:pPr>
        <w:pStyle w:val="BodyText"/>
        <w:ind w:left="5150"/>
      </w:pPr>
      <w:r>
        <w:rPr/>
        <w:t>ABRAMS &amp; ASSOCIATES, LLC</w:t>
      </w:r>
    </w:p>
    <w:p>
      <w:pPr>
        <w:pStyle w:val="BodyText"/>
        <w:spacing w:before="1"/>
      </w:pPr>
    </w:p>
    <w:p>
      <w:pPr>
        <w:tabs>
          <w:tab w:pos="8749" w:val="left" w:leader="none"/>
        </w:tabs>
        <w:spacing w:line="275" w:lineRule="exact" w:before="0"/>
        <w:ind w:left="5150" w:right="0" w:firstLine="0"/>
        <w:jc w:val="left"/>
        <w:rPr>
          <w:i/>
          <w:sz w:val="24"/>
        </w:rPr>
      </w:pPr>
      <w:r>
        <w:rPr>
          <w:i/>
          <w:sz w:val="24"/>
          <w:u w:val="single"/>
        </w:rPr>
        <w:t>/s/ Neil S.</w:t>
      </w:r>
      <w:r>
        <w:rPr>
          <w:i/>
          <w:spacing w:val="-6"/>
          <w:sz w:val="24"/>
          <w:u w:val="single"/>
        </w:rPr>
        <w:t> </w:t>
      </w:r>
      <w:r>
        <w:rPr>
          <w:i/>
          <w:sz w:val="24"/>
          <w:u w:val="single"/>
        </w:rPr>
        <w:t>Sullenberger</w:t>
        <w:tab/>
      </w:r>
    </w:p>
    <w:p>
      <w:pPr>
        <w:pStyle w:val="BodyText"/>
        <w:spacing w:line="275" w:lineRule="exact"/>
        <w:ind w:left="5150"/>
      </w:pPr>
      <w:r>
        <w:rPr/>
        <w:t>Neil S. Sullenberger, Attorney at Law</w:t>
      </w:r>
    </w:p>
    <w:p>
      <w:pPr>
        <w:pStyle w:val="BodyText"/>
        <w:spacing w:before="1"/>
      </w:pPr>
    </w:p>
    <w:p>
      <w:pPr>
        <w:spacing w:before="0"/>
        <w:ind w:left="5149" w:right="392" w:firstLine="0"/>
        <w:jc w:val="left"/>
        <w:rPr>
          <w:i/>
          <w:sz w:val="22"/>
        </w:rPr>
      </w:pPr>
      <w:r>
        <w:rPr>
          <w:i/>
          <w:sz w:val="22"/>
        </w:rPr>
        <w:t>(Original signature on file at Abrams &amp; Assoc., </w:t>
      </w:r>
      <w:r>
        <w:rPr>
          <w:i/>
          <w:sz w:val="22"/>
        </w:rPr>
        <w:t>LLC, pursuant to C.R.C.P. 121 § 1-26)</w:t>
      </w:r>
    </w:p>
    <w:p>
      <w:pPr>
        <w:pStyle w:val="BodyText"/>
        <w:spacing w:before="1"/>
        <w:rPr>
          <w:i/>
        </w:rPr>
      </w:pPr>
    </w:p>
    <w:p>
      <w:pPr>
        <w:pStyle w:val="Heading1"/>
        <w:ind w:left="3196" w:firstLine="0"/>
        <w:rPr>
          <w:u w:val="none"/>
        </w:rPr>
      </w:pPr>
      <w:r>
        <w:rPr>
          <w:u w:val="thick"/>
        </w:rPr>
        <w:t>CERTIFICATE OF SERVICE</w:t>
      </w:r>
    </w:p>
    <w:p>
      <w:pPr>
        <w:pStyle w:val="BodyText"/>
        <w:spacing w:before="9"/>
        <w:rPr>
          <w:b/>
          <w:sz w:val="23"/>
        </w:rPr>
      </w:pPr>
    </w:p>
    <w:p>
      <w:pPr>
        <w:pStyle w:val="BodyText"/>
        <w:ind w:left="110" w:right="109" w:firstLine="720"/>
        <w:jc w:val="both"/>
      </w:pPr>
      <w:r>
        <w:rPr/>
        <w:t>I HEREBY CERTIFY I have this 1</w:t>
      </w:r>
      <w:r>
        <w:rPr>
          <w:vertAlign w:val="superscript"/>
        </w:rPr>
        <w:t>st</w:t>
      </w:r>
      <w:r>
        <w:rPr>
          <w:vertAlign w:val="baseline"/>
        </w:rPr>
        <w:t> day of June, 2017, via ICCES, served a true and correct and correct copy of the foregoing PLAINTIFFS’ RESPONSE AND OBJECTION TO DEFENDANT’S BILL OF COSTS upon:</w:t>
      </w:r>
    </w:p>
    <w:p>
      <w:pPr>
        <w:pStyle w:val="BodyText"/>
        <w:spacing w:before="2"/>
        <w:rPr>
          <w:sz w:val="16"/>
        </w:rPr>
      </w:pPr>
    </w:p>
    <w:p>
      <w:pPr>
        <w:pStyle w:val="BodyText"/>
        <w:spacing w:before="90"/>
        <w:ind w:left="128" w:right="8059"/>
      </w:pPr>
      <w:r>
        <w:rPr/>
        <w:t>Wadi Muhaisen Amanda Becker</w:t>
      </w:r>
    </w:p>
    <w:p>
      <w:pPr>
        <w:pStyle w:val="BodyText"/>
        <w:ind w:left="128" w:right="6645"/>
      </w:pPr>
      <w:r>
        <w:rPr/>
        <w:t>Muhaisen &amp; Muhaisen, LLC 1435 Larimer Street, Suite 203</w:t>
      </w:r>
    </w:p>
    <w:p>
      <w:pPr>
        <w:pStyle w:val="BodyText"/>
        <w:ind w:left="128"/>
      </w:pPr>
      <w:r>
        <w:rPr/>
        <w:t>Denver, Colorado 80202</w:t>
      </w:r>
    </w:p>
    <w:p>
      <w:pPr>
        <w:spacing w:before="2"/>
        <w:ind w:left="128" w:right="0" w:firstLine="0"/>
        <w:jc w:val="left"/>
        <w:rPr>
          <w:i/>
          <w:sz w:val="24"/>
        </w:rPr>
      </w:pPr>
      <w:r>
        <w:rPr>
          <w:i/>
          <w:sz w:val="24"/>
        </w:rPr>
        <w:t>Attorney for Defendant</w:t>
      </w:r>
    </w:p>
    <w:p>
      <w:pPr>
        <w:tabs>
          <w:tab w:pos="9469" w:val="left" w:leader="none"/>
        </w:tabs>
        <w:spacing w:line="275" w:lineRule="exact" w:before="234"/>
        <w:ind w:left="5150" w:right="0" w:firstLine="0"/>
        <w:jc w:val="left"/>
        <w:rPr>
          <w:i/>
          <w:sz w:val="24"/>
        </w:rPr>
      </w:pPr>
      <w:r>
        <w:rPr>
          <w:i/>
          <w:sz w:val="24"/>
          <w:u w:val="single"/>
        </w:rPr>
        <w:t>/s/ Michael A.</w:t>
      </w:r>
      <w:r>
        <w:rPr>
          <w:i/>
          <w:spacing w:val="-6"/>
          <w:sz w:val="24"/>
          <w:u w:val="single"/>
        </w:rPr>
        <w:t> </w:t>
      </w:r>
      <w:r>
        <w:rPr>
          <w:i/>
          <w:sz w:val="24"/>
          <w:u w:val="single"/>
        </w:rPr>
        <w:t>Gubiotti</w:t>
        <w:tab/>
      </w:r>
    </w:p>
    <w:p>
      <w:pPr>
        <w:pStyle w:val="BodyText"/>
        <w:spacing w:line="275" w:lineRule="exact"/>
        <w:ind w:left="5150"/>
      </w:pPr>
      <w:r>
        <w:rPr/>
        <w:t>Michael A. Gubiotti</w:t>
      </w:r>
    </w:p>
    <w:p>
      <w:pPr>
        <w:spacing w:before="1"/>
        <w:ind w:left="5150" w:right="446" w:firstLine="0"/>
        <w:jc w:val="left"/>
        <w:rPr>
          <w:i/>
          <w:sz w:val="22"/>
        </w:rPr>
      </w:pPr>
      <w:r>
        <w:rPr>
          <w:i/>
          <w:sz w:val="22"/>
        </w:rPr>
        <w:t>(Original signature on file at Abrams &amp; Assoc. </w:t>
      </w:r>
      <w:r>
        <w:rPr>
          <w:i/>
          <w:sz w:val="22"/>
        </w:rPr>
        <w:t>LLC pursuant to C.R.C.P. 121 § 1-26)</w:t>
      </w:r>
    </w:p>
    <w:sectPr>
      <w:pgSz w:w="12240" w:h="16350"/>
      <w:pgMar w:header="0" w:footer="1065" w:top="1460" w:bottom="1260" w:left="142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5.5pt;margin-top:752.766663pt;width:10pt;height:15.3pt;mso-position-horizontal-relative:page;mso-position-vertical-relative:page;z-index:-6592"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Letter"/>
      <w:lvlText w:val="%1."/>
      <w:lvlJc w:val="left"/>
      <w:pPr>
        <w:ind w:left="830" w:hanging="360"/>
        <w:jc w:val="left"/>
      </w:pPr>
      <w:rPr>
        <w:rFonts w:hint="default"/>
        <w:b/>
        <w:bCs/>
        <w:spacing w:val="-1"/>
        <w:w w:val="99"/>
      </w:rPr>
    </w:lvl>
    <w:lvl w:ilvl="1">
      <w:start w:val="0"/>
      <w:numFmt w:val="bullet"/>
      <w:lvlText w:val="•"/>
      <w:lvlJc w:val="left"/>
      <w:pPr>
        <w:ind w:left="1732" w:hanging="360"/>
      </w:pPr>
      <w:rPr>
        <w:rFonts w:hint="default"/>
      </w:rPr>
    </w:lvl>
    <w:lvl w:ilvl="2">
      <w:start w:val="0"/>
      <w:numFmt w:val="bullet"/>
      <w:lvlText w:val="•"/>
      <w:lvlJc w:val="left"/>
      <w:pPr>
        <w:ind w:left="2624" w:hanging="360"/>
      </w:pPr>
      <w:rPr>
        <w:rFonts w:hint="default"/>
      </w:rPr>
    </w:lvl>
    <w:lvl w:ilvl="3">
      <w:start w:val="0"/>
      <w:numFmt w:val="bullet"/>
      <w:lvlText w:val="•"/>
      <w:lvlJc w:val="left"/>
      <w:pPr>
        <w:ind w:left="3516" w:hanging="360"/>
      </w:pPr>
      <w:rPr>
        <w:rFonts w:hint="default"/>
      </w:rPr>
    </w:lvl>
    <w:lvl w:ilvl="4">
      <w:start w:val="0"/>
      <w:numFmt w:val="bullet"/>
      <w:lvlText w:val="•"/>
      <w:lvlJc w:val="left"/>
      <w:pPr>
        <w:ind w:left="4408" w:hanging="360"/>
      </w:pPr>
      <w:rPr>
        <w:rFonts w:hint="default"/>
      </w:rPr>
    </w:lvl>
    <w:lvl w:ilvl="5">
      <w:start w:val="0"/>
      <w:numFmt w:val="bullet"/>
      <w:lvlText w:val="•"/>
      <w:lvlJc w:val="left"/>
      <w:pPr>
        <w:ind w:left="5300" w:hanging="360"/>
      </w:pPr>
      <w:rPr>
        <w:rFonts w:hint="default"/>
      </w:rPr>
    </w:lvl>
    <w:lvl w:ilvl="6">
      <w:start w:val="0"/>
      <w:numFmt w:val="bullet"/>
      <w:lvlText w:val="•"/>
      <w:lvlJc w:val="left"/>
      <w:pPr>
        <w:ind w:left="6192" w:hanging="360"/>
      </w:pPr>
      <w:rPr>
        <w:rFonts w:hint="default"/>
      </w:rPr>
    </w:lvl>
    <w:lvl w:ilvl="7">
      <w:start w:val="0"/>
      <w:numFmt w:val="bullet"/>
      <w:lvlText w:val="•"/>
      <w:lvlJc w:val="left"/>
      <w:pPr>
        <w:ind w:left="7084" w:hanging="360"/>
      </w:pPr>
      <w:rPr>
        <w:rFonts w:hint="default"/>
      </w:rPr>
    </w:lvl>
    <w:lvl w:ilvl="8">
      <w:start w:val="0"/>
      <w:numFmt w:val="bullet"/>
      <w:lvlText w:val="•"/>
      <w:lvlJc w:val="left"/>
      <w:pPr>
        <w:ind w:left="7976" w:hanging="360"/>
      </w:pPr>
      <w:rPr>
        <w:rFonts w:hint="default"/>
      </w:rPr>
    </w:lvl>
  </w:abstractNum>
  <w:abstractNum w:abstractNumId="1">
    <w:multiLevelType w:val="hybridMultilevel"/>
    <w:lvl w:ilvl="0">
      <w:start w:val="9"/>
      <w:numFmt w:val="lowerLetter"/>
      <w:lvlText w:val="(%1)"/>
      <w:lvlJc w:val="left"/>
      <w:pPr>
        <w:ind w:left="1747" w:hanging="288"/>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2542" w:hanging="288"/>
      </w:pPr>
      <w:rPr>
        <w:rFonts w:hint="default"/>
      </w:rPr>
    </w:lvl>
    <w:lvl w:ilvl="2">
      <w:start w:val="0"/>
      <w:numFmt w:val="bullet"/>
      <w:lvlText w:val="•"/>
      <w:lvlJc w:val="left"/>
      <w:pPr>
        <w:ind w:left="3344" w:hanging="288"/>
      </w:pPr>
      <w:rPr>
        <w:rFonts w:hint="default"/>
      </w:rPr>
    </w:lvl>
    <w:lvl w:ilvl="3">
      <w:start w:val="0"/>
      <w:numFmt w:val="bullet"/>
      <w:lvlText w:val="•"/>
      <w:lvlJc w:val="left"/>
      <w:pPr>
        <w:ind w:left="4146" w:hanging="288"/>
      </w:pPr>
      <w:rPr>
        <w:rFonts w:hint="default"/>
      </w:rPr>
    </w:lvl>
    <w:lvl w:ilvl="4">
      <w:start w:val="0"/>
      <w:numFmt w:val="bullet"/>
      <w:lvlText w:val="•"/>
      <w:lvlJc w:val="left"/>
      <w:pPr>
        <w:ind w:left="4948" w:hanging="288"/>
      </w:pPr>
      <w:rPr>
        <w:rFonts w:hint="default"/>
      </w:rPr>
    </w:lvl>
    <w:lvl w:ilvl="5">
      <w:start w:val="0"/>
      <w:numFmt w:val="bullet"/>
      <w:lvlText w:val="•"/>
      <w:lvlJc w:val="left"/>
      <w:pPr>
        <w:ind w:left="5750" w:hanging="288"/>
      </w:pPr>
      <w:rPr>
        <w:rFonts w:hint="default"/>
      </w:rPr>
    </w:lvl>
    <w:lvl w:ilvl="6">
      <w:start w:val="0"/>
      <w:numFmt w:val="bullet"/>
      <w:lvlText w:val="•"/>
      <w:lvlJc w:val="left"/>
      <w:pPr>
        <w:ind w:left="6552" w:hanging="288"/>
      </w:pPr>
      <w:rPr>
        <w:rFonts w:hint="default"/>
      </w:rPr>
    </w:lvl>
    <w:lvl w:ilvl="7">
      <w:start w:val="0"/>
      <w:numFmt w:val="bullet"/>
      <w:lvlText w:val="•"/>
      <w:lvlJc w:val="left"/>
      <w:pPr>
        <w:ind w:left="7354" w:hanging="288"/>
      </w:pPr>
      <w:rPr>
        <w:rFonts w:hint="default"/>
      </w:rPr>
    </w:lvl>
    <w:lvl w:ilvl="8">
      <w:start w:val="0"/>
      <w:numFmt w:val="bullet"/>
      <w:lvlText w:val="•"/>
      <w:lvlJc w:val="left"/>
      <w:pPr>
        <w:ind w:left="8156" w:hanging="288"/>
      </w:pPr>
      <w:rPr>
        <w:rFonts w:hint="default"/>
      </w:rPr>
    </w:lvl>
  </w:abstractNum>
  <w:abstractNum w:abstractNumId="0">
    <w:multiLevelType w:val="hybridMultilevel"/>
    <w:lvl w:ilvl="0">
      <w:start w:val="1"/>
      <w:numFmt w:val="decimal"/>
      <w:lvlText w:val="%1."/>
      <w:lvlJc w:val="left"/>
      <w:pPr>
        <w:ind w:left="110" w:hanging="720"/>
        <w:jc w:val="right"/>
      </w:pPr>
      <w:rPr>
        <w:rFonts w:hint="default" w:ascii="Times New Roman" w:hAnsi="Times New Roman" w:eastAsia="Times New Roman" w:cs="Times New Roman"/>
        <w:spacing w:val="-29"/>
        <w:w w:val="99"/>
        <w:sz w:val="24"/>
        <w:szCs w:val="24"/>
      </w:rPr>
    </w:lvl>
    <w:lvl w:ilvl="1">
      <w:start w:val="1"/>
      <w:numFmt w:val="lowerLetter"/>
      <w:lvlText w:val="(%2)"/>
      <w:lvlJc w:val="left"/>
      <w:pPr>
        <w:ind w:left="1550" w:hanging="328"/>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2453" w:hanging="328"/>
      </w:pPr>
      <w:rPr>
        <w:rFonts w:hint="default"/>
      </w:rPr>
    </w:lvl>
    <w:lvl w:ilvl="3">
      <w:start w:val="0"/>
      <w:numFmt w:val="bullet"/>
      <w:lvlText w:val="•"/>
      <w:lvlJc w:val="left"/>
      <w:pPr>
        <w:ind w:left="3366" w:hanging="328"/>
      </w:pPr>
      <w:rPr>
        <w:rFonts w:hint="default"/>
      </w:rPr>
    </w:lvl>
    <w:lvl w:ilvl="4">
      <w:start w:val="0"/>
      <w:numFmt w:val="bullet"/>
      <w:lvlText w:val="•"/>
      <w:lvlJc w:val="left"/>
      <w:pPr>
        <w:ind w:left="4280" w:hanging="328"/>
      </w:pPr>
      <w:rPr>
        <w:rFonts w:hint="default"/>
      </w:rPr>
    </w:lvl>
    <w:lvl w:ilvl="5">
      <w:start w:val="0"/>
      <w:numFmt w:val="bullet"/>
      <w:lvlText w:val="•"/>
      <w:lvlJc w:val="left"/>
      <w:pPr>
        <w:ind w:left="5193" w:hanging="328"/>
      </w:pPr>
      <w:rPr>
        <w:rFonts w:hint="default"/>
      </w:rPr>
    </w:lvl>
    <w:lvl w:ilvl="6">
      <w:start w:val="0"/>
      <w:numFmt w:val="bullet"/>
      <w:lvlText w:val="•"/>
      <w:lvlJc w:val="left"/>
      <w:pPr>
        <w:ind w:left="6106" w:hanging="328"/>
      </w:pPr>
      <w:rPr>
        <w:rFonts w:hint="default"/>
      </w:rPr>
    </w:lvl>
    <w:lvl w:ilvl="7">
      <w:start w:val="0"/>
      <w:numFmt w:val="bullet"/>
      <w:lvlText w:val="•"/>
      <w:lvlJc w:val="left"/>
      <w:pPr>
        <w:ind w:left="7020" w:hanging="328"/>
      </w:pPr>
      <w:rPr>
        <w:rFonts w:hint="default"/>
      </w:rPr>
    </w:lvl>
    <w:lvl w:ilvl="8">
      <w:start w:val="0"/>
      <w:numFmt w:val="bullet"/>
      <w:lvlText w:val="•"/>
      <w:lvlJc w:val="left"/>
      <w:pPr>
        <w:ind w:left="7933" w:hanging="328"/>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830" w:hanging="360"/>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110" w:right="287" w:firstLine="720"/>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nathan@silverlawdenver.com" TargetMode="External"/><Relationship Id="rId7" Type="http://schemas.openxmlformats.org/officeDocument/2006/relationships/hyperlink" Target="mailto:Robert@AbramsLaw.net"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2019-03-18T21:33:48Z</dcterms:created>
  <dcterms:modified xsi:type="dcterms:W3CDTF">2019-03-18T21:33:48Z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