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tbl>
      <w:tblPr>
        <w:tblW w:w="0" w:type="auto"/>
        <w:jc w:val="left"/>
        <w:tblInd w:w="2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89"/>
        <w:gridCol w:w="3673"/>
      </w:tblGrid>
      <w:tr>
        <w:trPr>
          <w:trHeight w:val="971" w:hRule="atLeast"/>
        </w:trPr>
        <w:tc>
          <w:tcPr>
            <w:tcW w:w="5689" w:type="dxa"/>
            <w:tcBorders>
              <w:bottom w:val="nil"/>
            </w:tcBorders>
          </w:tcPr>
          <w:p>
            <w:pPr>
              <w:pStyle w:val="TableParagraph"/>
              <w:rPr>
                <w:sz w:val="24"/>
              </w:rPr>
            </w:pPr>
          </w:p>
          <w:p>
            <w:pPr>
              <w:pStyle w:val="TableParagraph"/>
              <w:ind w:left="73" w:right="685"/>
              <w:rPr>
                <w:b/>
                <w:sz w:val="24"/>
              </w:rPr>
            </w:pPr>
            <w:r>
              <w:rPr>
                <w:b/>
                <w:sz w:val="24"/>
              </w:rPr>
              <w:t>DISTRICT COURT, CITY AND COUNTY OF DENVER, COLORADO</w:t>
            </w:r>
          </w:p>
        </w:tc>
        <w:tc>
          <w:tcPr>
            <w:tcW w:w="3673" w:type="dxa"/>
            <w:tcBorders>
              <w:bottom w:val="nil"/>
            </w:tcBorders>
          </w:tcPr>
          <w:p>
            <w:pPr>
              <w:pStyle w:val="TableParagraph"/>
              <w:spacing w:line="110" w:lineRule="exact"/>
              <w:ind w:left="162"/>
              <w:rPr>
                <w:sz w:val="20"/>
              </w:rPr>
            </w:pPr>
            <w:r>
              <w:rPr>
                <w:color w:val="0000FF"/>
                <w:sz w:val="20"/>
              </w:rPr>
              <w:t>DATE FILED: April 28, 2017 4:02 PM</w:t>
            </w:r>
          </w:p>
          <w:p>
            <w:pPr>
              <w:pStyle w:val="TableParagraph"/>
              <w:spacing w:line="225" w:lineRule="auto" w:before="4"/>
              <w:ind w:left="162" w:right="612"/>
              <w:rPr>
                <w:sz w:val="20"/>
              </w:rPr>
            </w:pPr>
            <w:r>
              <w:rPr>
                <w:color w:val="0000FF"/>
                <w:sz w:val="20"/>
              </w:rPr>
              <w:t>FILING ID: 2766B496E9391 CASE NUMBER: 2015CV31709</w:t>
            </w:r>
          </w:p>
        </w:tc>
      </w:tr>
      <w:tr>
        <w:trPr>
          <w:trHeight w:val="1512" w:hRule="atLeast"/>
        </w:trPr>
        <w:tc>
          <w:tcPr>
            <w:tcW w:w="5689" w:type="dxa"/>
            <w:tcBorders>
              <w:top w:val="nil"/>
            </w:tcBorders>
          </w:tcPr>
          <w:p>
            <w:pPr>
              <w:pStyle w:val="TableParagraph"/>
              <w:spacing w:before="133"/>
              <w:ind w:left="73" w:right="2292"/>
              <w:rPr>
                <w:b/>
                <w:sz w:val="24"/>
              </w:rPr>
            </w:pPr>
            <w:r>
              <w:rPr>
                <w:b/>
                <w:sz w:val="24"/>
              </w:rPr>
              <w:t>Denver County District Court Denver City &amp; County Bldg. 1437 Bannock Street, Room 256</w:t>
            </w:r>
          </w:p>
          <w:p>
            <w:pPr>
              <w:pStyle w:val="TableParagraph"/>
              <w:ind w:left="73"/>
              <w:rPr>
                <w:b/>
                <w:sz w:val="24"/>
              </w:rPr>
            </w:pPr>
            <w:r>
              <w:rPr>
                <w:b/>
                <w:sz w:val="24"/>
              </w:rPr>
              <w:t>Denver, Colorado 80202</w:t>
            </w:r>
          </w:p>
        </w:tc>
        <w:tc>
          <w:tcPr>
            <w:tcW w:w="3673" w:type="dxa"/>
            <w:tcBorders>
              <w:top w:val="nil"/>
            </w:tcBorders>
          </w:tcPr>
          <w:p>
            <w:pPr>
              <w:pStyle w:val="TableParagraph"/>
              <w:rPr>
                <w:sz w:val="26"/>
              </w:rPr>
            </w:pPr>
          </w:p>
          <w:p>
            <w:pPr>
              <w:pStyle w:val="TableParagraph"/>
              <w:spacing w:before="4"/>
              <w:rPr>
                <w:sz w:val="33"/>
              </w:rPr>
            </w:pPr>
          </w:p>
          <w:p>
            <w:pPr>
              <w:pStyle w:val="TableParagraph"/>
              <w:ind w:left="524"/>
              <w:rPr>
                <w:sz w:val="24"/>
              </w:rPr>
            </w:pPr>
            <w:r>
              <w:rPr>
                <w:sz w:val="24"/>
              </w:rPr>
              <w:t>▲</w:t>
            </w:r>
            <w:r>
              <w:rPr>
                <w:b/>
                <w:sz w:val="24"/>
              </w:rPr>
              <w:t>COURT USE ONLY</w:t>
            </w:r>
            <w:r>
              <w:rPr>
                <w:sz w:val="24"/>
              </w:rPr>
              <w:t>▲</w:t>
            </w:r>
          </w:p>
        </w:tc>
      </w:tr>
      <w:tr>
        <w:trPr>
          <w:trHeight w:val="1247" w:hRule="atLeast"/>
        </w:trPr>
        <w:tc>
          <w:tcPr>
            <w:tcW w:w="5689" w:type="dxa"/>
            <w:tcBorders>
              <w:bottom w:val="nil"/>
            </w:tcBorders>
          </w:tcPr>
          <w:p>
            <w:pPr>
              <w:pStyle w:val="TableParagraph"/>
              <w:rPr>
                <w:sz w:val="24"/>
              </w:rPr>
            </w:pPr>
          </w:p>
          <w:p>
            <w:pPr>
              <w:pStyle w:val="TableParagraph"/>
              <w:ind w:left="73" w:right="561"/>
              <w:jc w:val="both"/>
              <w:rPr>
                <w:b/>
                <w:sz w:val="24"/>
              </w:rPr>
            </w:pPr>
            <w:r>
              <w:rPr>
                <w:b/>
                <w:sz w:val="24"/>
              </w:rPr>
              <w:t>Plaintiffs: ROBERT ABRAMS and ABRAMS &amp; ASSOCIATES, LLC, a Colorado limited liability company</w:t>
            </w:r>
          </w:p>
        </w:tc>
        <w:tc>
          <w:tcPr>
            <w:tcW w:w="3673" w:type="dxa"/>
            <w:tcBorders>
              <w:bottom w:val="nil"/>
            </w:tcBorders>
          </w:tcPr>
          <w:p>
            <w:pPr>
              <w:pStyle w:val="TableParagraph"/>
              <w:rPr>
                <w:sz w:val="24"/>
              </w:rPr>
            </w:pPr>
          </w:p>
          <w:p>
            <w:pPr>
              <w:pStyle w:val="TableParagraph"/>
              <w:ind w:left="328" w:right="300"/>
              <w:jc w:val="center"/>
              <w:rPr>
                <w:b/>
                <w:sz w:val="24"/>
              </w:rPr>
            </w:pPr>
            <w:r>
              <w:rPr>
                <w:b/>
                <w:sz w:val="24"/>
              </w:rPr>
              <w:t>Case Number: 2015CV31709</w:t>
            </w:r>
          </w:p>
          <w:p>
            <w:pPr>
              <w:pStyle w:val="TableParagraph"/>
              <w:spacing w:before="9"/>
              <w:rPr>
                <w:sz w:val="23"/>
              </w:rPr>
            </w:pPr>
          </w:p>
          <w:p>
            <w:pPr>
              <w:pStyle w:val="TableParagraph"/>
              <w:ind w:left="326" w:right="300"/>
              <w:jc w:val="center"/>
              <w:rPr>
                <w:sz w:val="24"/>
              </w:rPr>
            </w:pPr>
            <w:r>
              <w:rPr>
                <w:sz w:val="24"/>
              </w:rPr>
              <w:t>Ctrm.: 275</w:t>
            </w:r>
          </w:p>
        </w:tc>
      </w:tr>
      <w:tr>
        <w:trPr>
          <w:trHeight w:val="552" w:hRule="atLeast"/>
        </w:trPr>
        <w:tc>
          <w:tcPr>
            <w:tcW w:w="5689" w:type="dxa"/>
            <w:tcBorders>
              <w:top w:val="nil"/>
              <w:bottom w:val="nil"/>
            </w:tcBorders>
          </w:tcPr>
          <w:p>
            <w:pPr>
              <w:pStyle w:val="TableParagraph"/>
              <w:spacing w:before="133"/>
              <w:ind w:left="73"/>
              <w:rPr>
                <w:b/>
                <w:sz w:val="24"/>
              </w:rPr>
            </w:pPr>
            <w:r>
              <w:rPr>
                <w:b/>
                <w:sz w:val="24"/>
              </w:rPr>
              <w:t>v.</w:t>
            </w:r>
          </w:p>
        </w:tc>
        <w:tc>
          <w:tcPr>
            <w:tcW w:w="3673" w:type="dxa"/>
            <w:tcBorders>
              <w:top w:val="nil"/>
              <w:bottom w:val="nil"/>
            </w:tcBorders>
          </w:tcPr>
          <w:p>
            <w:pPr>
              <w:pStyle w:val="TableParagraph"/>
              <w:rPr>
                <w:sz w:val="22"/>
              </w:rPr>
            </w:pPr>
          </w:p>
        </w:tc>
      </w:tr>
      <w:tr>
        <w:trPr>
          <w:trHeight w:val="684" w:hRule="atLeast"/>
        </w:trPr>
        <w:tc>
          <w:tcPr>
            <w:tcW w:w="5689" w:type="dxa"/>
            <w:tcBorders>
              <w:top w:val="nil"/>
            </w:tcBorders>
          </w:tcPr>
          <w:p>
            <w:pPr>
              <w:pStyle w:val="TableParagraph"/>
              <w:spacing w:before="133"/>
              <w:ind w:left="73"/>
              <w:rPr>
                <w:b/>
                <w:sz w:val="24"/>
              </w:rPr>
            </w:pPr>
            <w:r>
              <w:rPr>
                <w:b/>
                <w:sz w:val="24"/>
              </w:rPr>
              <w:t>Defendant: SHAWN BEESON</w:t>
            </w:r>
          </w:p>
        </w:tc>
        <w:tc>
          <w:tcPr>
            <w:tcW w:w="3673" w:type="dxa"/>
            <w:tcBorders>
              <w:top w:val="nil"/>
              <w:bottom w:val="nil"/>
            </w:tcBorders>
          </w:tcPr>
          <w:p>
            <w:pPr>
              <w:pStyle w:val="TableParagraph"/>
              <w:rPr>
                <w:sz w:val="22"/>
              </w:rPr>
            </w:pPr>
          </w:p>
        </w:tc>
      </w:tr>
      <w:tr>
        <w:trPr>
          <w:trHeight w:val="2483" w:hRule="atLeast"/>
        </w:trPr>
        <w:tc>
          <w:tcPr>
            <w:tcW w:w="5689" w:type="dxa"/>
          </w:tcPr>
          <w:p>
            <w:pPr>
              <w:pStyle w:val="TableParagraph"/>
              <w:spacing w:before="9"/>
              <w:rPr>
                <w:sz w:val="23"/>
              </w:rPr>
            </w:pPr>
          </w:p>
          <w:p>
            <w:pPr>
              <w:pStyle w:val="TableParagraph"/>
              <w:ind w:left="73" w:right="2605"/>
              <w:rPr>
                <w:sz w:val="24"/>
              </w:rPr>
            </w:pPr>
            <w:r>
              <w:rPr>
                <w:sz w:val="24"/>
              </w:rPr>
              <w:t>Wadi Muhaisen, 34470 </w:t>
            </w:r>
            <w:r>
              <w:rPr>
                <w:b/>
                <w:sz w:val="24"/>
              </w:rPr>
              <w:t>Muhaisen &amp; Muhaisen, LLC </w:t>
            </w:r>
            <w:r>
              <w:rPr>
                <w:sz w:val="24"/>
              </w:rPr>
              <w:t>1435 Larimer Street Ste 203</w:t>
            </w:r>
          </w:p>
          <w:p>
            <w:pPr>
              <w:pStyle w:val="TableParagraph"/>
              <w:spacing w:before="1"/>
              <w:ind w:left="73"/>
              <w:rPr>
                <w:sz w:val="24"/>
              </w:rPr>
            </w:pPr>
            <w:r>
              <w:rPr>
                <w:sz w:val="24"/>
              </w:rPr>
              <w:t>Denver, Colorado</w:t>
            </w:r>
            <w:r>
              <w:rPr>
                <w:spacing w:val="59"/>
                <w:sz w:val="24"/>
              </w:rPr>
              <w:t> </w:t>
            </w:r>
            <w:r>
              <w:rPr>
                <w:sz w:val="24"/>
              </w:rPr>
              <w:t>80202</w:t>
            </w:r>
          </w:p>
          <w:p>
            <w:pPr>
              <w:pStyle w:val="TableParagraph"/>
              <w:ind w:left="73"/>
              <w:rPr>
                <w:sz w:val="24"/>
              </w:rPr>
            </w:pPr>
            <w:r>
              <w:rPr>
                <w:sz w:val="24"/>
              </w:rPr>
              <w:t>Phone Number: 303-872-0084</w:t>
            </w:r>
          </w:p>
          <w:p>
            <w:pPr>
              <w:pStyle w:val="TableParagraph"/>
              <w:ind w:left="73" w:right="2873"/>
              <w:rPr>
                <w:sz w:val="24"/>
              </w:rPr>
            </w:pPr>
            <w:r>
              <w:rPr>
                <w:sz w:val="24"/>
              </w:rPr>
              <w:t>Fax Number: 303-309-3995 </w:t>
            </w:r>
            <w:hyperlink r:id="rId5">
              <w:r>
                <w:rPr>
                  <w:sz w:val="24"/>
                </w:rPr>
                <w:t>wadi@muhaisenlaw.com</w:t>
              </w:r>
            </w:hyperlink>
          </w:p>
        </w:tc>
        <w:tc>
          <w:tcPr>
            <w:tcW w:w="3673" w:type="dxa"/>
            <w:tcBorders>
              <w:top w:val="nil"/>
            </w:tcBorders>
          </w:tcPr>
          <w:p>
            <w:pPr>
              <w:pStyle w:val="TableParagraph"/>
              <w:rPr>
                <w:sz w:val="22"/>
              </w:rPr>
            </w:pPr>
          </w:p>
        </w:tc>
      </w:tr>
      <w:tr>
        <w:trPr>
          <w:trHeight w:val="1380" w:hRule="atLeast"/>
        </w:trPr>
        <w:tc>
          <w:tcPr>
            <w:tcW w:w="9362" w:type="dxa"/>
            <w:gridSpan w:val="2"/>
          </w:tcPr>
          <w:p>
            <w:pPr>
              <w:pStyle w:val="TableParagraph"/>
              <w:rPr>
                <w:sz w:val="24"/>
              </w:rPr>
            </w:pPr>
          </w:p>
          <w:p>
            <w:pPr>
              <w:pStyle w:val="TableParagraph"/>
              <w:ind w:left="126" w:right="94"/>
              <w:jc w:val="center"/>
              <w:rPr>
                <w:b/>
                <w:sz w:val="24"/>
              </w:rPr>
            </w:pPr>
            <w:r>
              <w:rPr>
                <w:b/>
                <w:sz w:val="24"/>
              </w:rPr>
              <w:t>PLAINTIFF’S RESPONSE IN OPPOSITION TO PLAINTIFFS’ “MOTION TO</w:t>
            </w:r>
            <w:r>
              <w:rPr>
                <w:b/>
                <w:spacing w:val="-16"/>
                <w:sz w:val="24"/>
              </w:rPr>
              <w:t> </w:t>
            </w:r>
            <w:r>
              <w:rPr>
                <w:b/>
                <w:sz w:val="24"/>
              </w:rPr>
              <w:t>STIKE (SIC) ALEXANDER OSBORN’S ABSENTEE TRIAL TESTIMONY</w:t>
            </w:r>
            <w:r>
              <w:rPr>
                <w:b/>
                <w:spacing w:val="-9"/>
                <w:sz w:val="24"/>
              </w:rPr>
              <w:t> </w:t>
            </w:r>
            <w:r>
              <w:rPr>
                <w:b/>
                <w:sz w:val="24"/>
              </w:rPr>
              <w:t>FOR</w:t>
            </w:r>
          </w:p>
          <w:p>
            <w:pPr>
              <w:pStyle w:val="TableParagraph"/>
              <w:ind w:left="124" w:right="94"/>
              <w:jc w:val="center"/>
              <w:rPr>
                <w:b/>
                <w:sz w:val="24"/>
              </w:rPr>
            </w:pPr>
            <w:r>
              <w:rPr>
                <w:b/>
                <w:sz w:val="24"/>
              </w:rPr>
              <w:t>DEFENDANT’S FAILURE TO PROVE OSBORN’S</w:t>
            </w:r>
            <w:r>
              <w:rPr>
                <w:b/>
                <w:spacing w:val="-18"/>
                <w:sz w:val="24"/>
              </w:rPr>
              <w:t> </w:t>
            </w:r>
            <w:r>
              <w:rPr>
                <w:b/>
                <w:sz w:val="24"/>
              </w:rPr>
              <w:t>UNAVAILABILITY”</w:t>
            </w:r>
          </w:p>
        </w:tc>
      </w:tr>
    </w:tbl>
    <w:p>
      <w:pPr>
        <w:pStyle w:val="BodyText"/>
        <w:spacing w:before="8"/>
        <w:rPr>
          <w:sz w:val="9"/>
        </w:rPr>
      </w:pPr>
    </w:p>
    <w:p>
      <w:pPr>
        <w:pStyle w:val="BodyText"/>
        <w:spacing w:line="417" w:lineRule="auto" w:before="90"/>
        <w:ind w:left="100" w:right="427" w:firstLine="720"/>
      </w:pPr>
      <w:r>
        <w:rPr/>
        <w:t>COMES NOW, the Defendant above named (“Mr. Beeson”), by and through counsel, Muhaisen &amp; Muhaisen, LLC, files this response opposing Plaintiffs motion to strike Alexander Osborn’s testimony (“Plaintiffs’ Motion”) on the grounds that the motion is baseless. At long last, this case should be resolved on the evidence and merits, and the relief requested by Plaintiffs would cause severe and unnecessary prejudice to Shawn Beeson’s presentation of evidence, and deny the fact-finder the opportunity to find the truth.</w:t>
      </w:r>
    </w:p>
    <w:p>
      <w:pPr>
        <w:spacing w:after="0" w:line="417" w:lineRule="auto"/>
        <w:sectPr>
          <w:type w:val="continuous"/>
          <w:pgSz w:w="12240" w:h="15840"/>
          <w:pgMar w:top="1500" w:bottom="280" w:left="1340" w:right="1220"/>
        </w:sectPr>
      </w:pPr>
    </w:p>
    <w:p>
      <w:pPr>
        <w:pStyle w:val="BodyText"/>
        <w:rPr>
          <w:sz w:val="20"/>
        </w:rPr>
      </w:pPr>
    </w:p>
    <w:p>
      <w:pPr>
        <w:pStyle w:val="BodyText"/>
        <w:rPr>
          <w:sz w:val="20"/>
        </w:rPr>
      </w:pPr>
    </w:p>
    <w:p>
      <w:pPr>
        <w:pStyle w:val="BodyText"/>
        <w:spacing w:before="1"/>
        <w:rPr>
          <w:sz w:val="27"/>
        </w:rPr>
      </w:pPr>
    </w:p>
    <w:p>
      <w:pPr>
        <w:pStyle w:val="ListParagraph"/>
        <w:numPr>
          <w:ilvl w:val="0"/>
          <w:numId w:val="1"/>
        </w:numPr>
        <w:tabs>
          <w:tab w:pos="820" w:val="left" w:leader="none"/>
          <w:tab w:pos="821" w:val="left" w:leader="none"/>
        </w:tabs>
        <w:spacing w:line="240" w:lineRule="auto" w:before="90" w:after="0"/>
        <w:ind w:left="820" w:right="0" w:hanging="720"/>
        <w:jc w:val="left"/>
        <w:rPr>
          <w:sz w:val="24"/>
        </w:rPr>
      </w:pPr>
      <w:r>
        <w:rPr>
          <w:sz w:val="24"/>
        </w:rPr>
        <w:t>Plaintiffs’ cite C.R.C.P. 12(f) Plaintiffs’ Motion ¶2. That rule</w:t>
      </w:r>
      <w:r>
        <w:rPr>
          <w:spacing w:val="-7"/>
          <w:sz w:val="24"/>
        </w:rPr>
        <w:t> </w:t>
      </w:r>
      <w:r>
        <w:rPr>
          <w:sz w:val="24"/>
        </w:rPr>
        <w:t>states:</w:t>
      </w:r>
    </w:p>
    <w:p>
      <w:pPr>
        <w:pStyle w:val="BodyText"/>
      </w:pPr>
    </w:p>
    <w:p>
      <w:pPr>
        <w:pStyle w:val="BodyText"/>
        <w:spacing w:before="1"/>
        <w:ind w:left="1540" w:right="217"/>
        <w:jc w:val="both"/>
      </w:pPr>
      <w:r>
        <w:rPr/>
        <w:t>C.R.C.P. 12(f). “Upon motion filed by a party within the time for responding to a pleading […] or upon the court’s own initiative at any time, the court may order any redundant, immaterial, impertinent, or scandalous matter stricken from any pleading, motion, or other paper. The objection that a responsive pleading or separate defense therein fails to state a legal defense may be raised by motion</w:t>
      </w:r>
      <w:r>
        <w:rPr>
          <w:spacing w:val="-33"/>
        </w:rPr>
        <w:t> </w:t>
      </w:r>
      <w:r>
        <w:rPr/>
        <w:t>filed under this section (f).” C.R.C.P.</w:t>
      </w:r>
      <w:r>
        <w:rPr>
          <w:spacing w:val="-3"/>
        </w:rPr>
        <w:t> </w:t>
      </w:r>
      <w:r>
        <w:rPr/>
        <w:t>12(f).</w:t>
      </w:r>
    </w:p>
    <w:p>
      <w:pPr>
        <w:pStyle w:val="BodyText"/>
      </w:pPr>
    </w:p>
    <w:p>
      <w:pPr>
        <w:pStyle w:val="ListParagraph"/>
        <w:numPr>
          <w:ilvl w:val="0"/>
          <w:numId w:val="1"/>
        </w:numPr>
        <w:tabs>
          <w:tab w:pos="820" w:val="left" w:leader="none"/>
          <w:tab w:pos="821" w:val="left" w:leader="none"/>
        </w:tabs>
        <w:spacing w:line="480" w:lineRule="auto" w:before="0" w:after="0"/>
        <w:ind w:left="100" w:right="360" w:firstLine="0"/>
        <w:jc w:val="left"/>
        <w:rPr>
          <w:sz w:val="24"/>
        </w:rPr>
      </w:pPr>
      <w:r>
        <w:rPr>
          <w:sz w:val="24"/>
        </w:rPr>
        <w:t>At the Pretrial Conference, which Plaintiffs’ counsel submitting the Motion to Strike</w:t>
      </w:r>
      <w:r>
        <w:rPr>
          <w:spacing w:val="-26"/>
          <w:sz w:val="24"/>
        </w:rPr>
        <w:t> </w:t>
      </w:r>
      <w:r>
        <w:rPr>
          <w:sz w:val="24"/>
        </w:rPr>
        <w:t>did not attend, the Court already ruled that Mr. Osborne can testify, and therefore has</w:t>
      </w:r>
      <w:r>
        <w:rPr>
          <w:spacing w:val="-6"/>
          <w:sz w:val="24"/>
        </w:rPr>
        <w:t> </w:t>
      </w:r>
      <w:r>
        <w:rPr>
          <w:sz w:val="24"/>
        </w:rPr>
        <w:t>already</w:t>
      </w:r>
    </w:p>
    <w:p>
      <w:pPr>
        <w:pStyle w:val="BodyText"/>
        <w:spacing w:line="480" w:lineRule="auto"/>
        <w:ind w:left="100" w:right="675"/>
      </w:pPr>
      <w:r>
        <w:rPr/>
        <w:t>concluded that his testimony is not “redundant, immaterial, impertinent, or scandalous.” The Court referred to Mr. Osborne’s testimony as essential to the resolution of this case.</w:t>
      </w:r>
    </w:p>
    <w:p>
      <w:pPr>
        <w:pStyle w:val="ListParagraph"/>
        <w:numPr>
          <w:ilvl w:val="0"/>
          <w:numId w:val="1"/>
        </w:numPr>
        <w:tabs>
          <w:tab w:pos="820" w:val="left" w:leader="none"/>
          <w:tab w:pos="821" w:val="left" w:leader="none"/>
        </w:tabs>
        <w:spacing w:line="480" w:lineRule="auto" w:before="0" w:after="0"/>
        <w:ind w:left="100" w:right="306" w:firstLine="0"/>
        <w:jc w:val="left"/>
        <w:rPr>
          <w:sz w:val="24"/>
        </w:rPr>
      </w:pPr>
      <w:r>
        <w:rPr>
          <w:sz w:val="24"/>
        </w:rPr>
        <w:t>The Plaintiffs then cite C.R.C.P. 43 Defendant’s Motion ¶ 3, which is inapplicable at</w:t>
      </w:r>
      <w:r>
        <w:rPr>
          <w:spacing w:val="-27"/>
          <w:sz w:val="24"/>
        </w:rPr>
        <w:t> </w:t>
      </w:r>
      <w:r>
        <w:rPr>
          <w:sz w:val="24"/>
        </w:rPr>
        <w:t>this stage since the court already ruled, and based its findings on the factors in Rule 43, when it granted Defendant’s Motion for Absentee</w:t>
      </w:r>
      <w:r>
        <w:rPr>
          <w:spacing w:val="-2"/>
          <w:sz w:val="24"/>
        </w:rPr>
        <w:t> </w:t>
      </w:r>
      <w:r>
        <w:rPr>
          <w:sz w:val="24"/>
        </w:rPr>
        <w:t>Testimony.</w:t>
      </w:r>
    </w:p>
    <w:p>
      <w:pPr>
        <w:pStyle w:val="ListParagraph"/>
        <w:numPr>
          <w:ilvl w:val="0"/>
          <w:numId w:val="1"/>
        </w:numPr>
        <w:tabs>
          <w:tab w:pos="820" w:val="left" w:leader="none"/>
          <w:tab w:pos="821" w:val="left" w:leader="none"/>
        </w:tabs>
        <w:spacing w:line="480" w:lineRule="auto" w:before="1" w:after="0"/>
        <w:ind w:left="100" w:right="528" w:firstLine="0"/>
        <w:jc w:val="left"/>
        <w:rPr>
          <w:sz w:val="24"/>
        </w:rPr>
      </w:pPr>
      <w:r>
        <w:rPr>
          <w:sz w:val="24"/>
        </w:rPr>
        <w:t>The Court then gave the parties two options: 1) First, attempt to schedule a video testimony session with Mr. Osborne; with additional instructions on submission of expedited transcript to the court containing objections. And if the video testimony was not possible,</w:t>
      </w:r>
      <w:r>
        <w:rPr>
          <w:spacing w:val="-15"/>
          <w:sz w:val="24"/>
        </w:rPr>
        <w:t> </w:t>
      </w:r>
      <w:r>
        <w:rPr>
          <w:sz w:val="24"/>
        </w:rPr>
        <w:t>then the Court permitted 2) Mr. Osborne to testify during trial by video or phone. In fact, the Court gave Mr. Beeson’s counsel permission to come to the division on Friday April 28, 2017 to explore the possibility of setting up a video conduit for Mr. Osborne. Plaintiffs’ Counsel who was not present for the Pretrial Conference misquotes the Court’s exact words, and of course doesn’t submit a mittimus or transcript exhibit. The Court, for example, never used the</w:t>
      </w:r>
      <w:r>
        <w:rPr>
          <w:spacing w:val="-11"/>
          <w:sz w:val="24"/>
        </w:rPr>
        <w:t> </w:t>
      </w:r>
      <w:r>
        <w:rPr>
          <w:sz w:val="24"/>
        </w:rPr>
        <w:t>term</w:t>
      </w:r>
    </w:p>
    <w:p>
      <w:pPr>
        <w:pStyle w:val="BodyText"/>
        <w:spacing w:line="275" w:lineRule="exact"/>
        <w:ind w:left="100"/>
      </w:pPr>
      <w:r>
        <w:rPr/>
        <w:t>“burden” regarding Mr. Oborne’s availability for the video testimony option.</w:t>
      </w:r>
    </w:p>
    <w:p>
      <w:pPr>
        <w:spacing w:after="0" w:line="275" w:lineRule="exact"/>
        <w:sectPr>
          <w:pgSz w:w="12240" w:h="15840"/>
          <w:pgMar w:top="1500" w:bottom="280" w:left="1340" w:right="1220"/>
        </w:sectPr>
      </w:pPr>
    </w:p>
    <w:p>
      <w:pPr>
        <w:pStyle w:val="BodyText"/>
        <w:rPr>
          <w:sz w:val="20"/>
        </w:rPr>
      </w:pPr>
    </w:p>
    <w:p>
      <w:pPr>
        <w:pStyle w:val="BodyText"/>
        <w:spacing w:before="4"/>
        <w:rPr>
          <w:sz w:val="29"/>
        </w:rPr>
      </w:pPr>
    </w:p>
    <w:p>
      <w:pPr>
        <w:pStyle w:val="ListParagraph"/>
        <w:numPr>
          <w:ilvl w:val="0"/>
          <w:numId w:val="1"/>
        </w:numPr>
        <w:tabs>
          <w:tab w:pos="820" w:val="left" w:leader="none"/>
          <w:tab w:pos="821" w:val="left" w:leader="none"/>
        </w:tabs>
        <w:spacing w:line="480" w:lineRule="auto" w:before="90" w:after="0"/>
        <w:ind w:left="100" w:right="345" w:firstLine="0"/>
        <w:jc w:val="left"/>
        <w:rPr>
          <w:sz w:val="24"/>
        </w:rPr>
      </w:pPr>
      <w:r>
        <w:rPr>
          <w:sz w:val="24"/>
        </w:rPr>
        <w:t>Mr. Osborn was not available to participate in video testimony because he already left to Germany, therefore the Court’s Order permitting him to testify by phone or video during trial applies. </w:t>
      </w:r>
      <w:r>
        <w:rPr>
          <w:b/>
          <w:sz w:val="24"/>
        </w:rPr>
        <w:t>Exhibit A. </w:t>
      </w:r>
      <w:r>
        <w:rPr>
          <w:sz w:val="24"/>
        </w:rPr>
        <w:t>Mr. Beeson’s counsel and Mr. Osborne have made arrangements for him to be available for testimony, and he has already made arrangements in Germany to make himself available.</w:t>
      </w:r>
    </w:p>
    <w:p>
      <w:pPr>
        <w:pStyle w:val="ListParagraph"/>
        <w:numPr>
          <w:ilvl w:val="0"/>
          <w:numId w:val="1"/>
        </w:numPr>
        <w:tabs>
          <w:tab w:pos="820" w:val="left" w:leader="none"/>
          <w:tab w:pos="821" w:val="left" w:leader="none"/>
        </w:tabs>
        <w:spacing w:line="480" w:lineRule="auto" w:before="1" w:after="0"/>
        <w:ind w:left="100" w:right="362" w:firstLine="0"/>
        <w:jc w:val="left"/>
        <w:rPr>
          <w:sz w:val="24"/>
        </w:rPr>
      </w:pPr>
      <w:r>
        <w:rPr>
          <w:sz w:val="24"/>
        </w:rPr>
        <w:t>The reasons upon which the Court granted Defendant’s Motion for Absentee Testimony are unchanged. The Plaintiffs have previously cross-examined Mr. Osborne under oath, they have access to his witness statement(s), they had every opportunity to depose him, and they</w:t>
      </w:r>
      <w:r>
        <w:rPr>
          <w:spacing w:val="-15"/>
          <w:sz w:val="24"/>
        </w:rPr>
        <w:t> </w:t>
      </w:r>
      <w:r>
        <w:rPr>
          <w:sz w:val="24"/>
        </w:rPr>
        <w:t>will again have the full opportunity to cross-examine</w:t>
      </w:r>
      <w:r>
        <w:rPr>
          <w:spacing w:val="-2"/>
          <w:sz w:val="24"/>
        </w:rPr>
        <w:t> </w:t>
      </w:r>
      <w:r>
        <w:rPr>
          <w:sz w:val="24"/>
        </w:rPr>
        <w:t>him.</w:t>
      </w:r>
    </w:p>
    <w:p>
      <w:pPr>
        <w:pStyle w:val="ListParagraph"/>
        <w:numPr>
          <w:ilvl w:val="0"/>
          <w:numId w:val="1"/>
        </w:numPr>
        <w:tabs>
          <w:tab w:pos="820" w:val="left" w:leader="none"/>
          <w:tab w:pos="821" w:val="left" w:leader="none"/>
        </w:tabs>
        <w:spacing w:line="480" w:lineRule="auto" w:before="0" w:after="0"/>
        <w:ind w:left="100" w:right="378" w:firstLine="0"/>
        <w:jc w:val="left"/>
        <w:rPr>
          <w:i/>
          <w:sz w:val="24"/>
        </w:rPr>
      </w:pPr>
      <w:r>
        <w:rPr>
          <w:sz w:val="24"/>
        </w:rPr>
        <w:t>The policy underlying the Colorado Rules of Evidence . . . is similar to that expressed in C.R.C.P. 43 [the rule upon which this Court already granted Defendant’s Motion]: to guarantee to each party an opportunity to present the testimony of . . . witnesses and to favor admissibility of their testimony so as to ascertain the truth within the bounds of fairness.</w:t>
      </w:r>
      <w:r>
        <w:rPr>
          <w:spacing w:val="-10"/>
          <w:sz w:val="24"/>
        </w:rPr>
        <w:t> </w:t>
      </w:r>
      <w:r>
        <w:rPr>
          <w:i/>
          <w:sz w:val="24"/>
        </w:rPr>
        <w:t>Berger</w:t>
      </w:r>
    </w:p>
    <w:p>
      <w:pPr>
        <w:pStyle w:val="BodyText"/>
        <w:spacing w:line="480" w:lineRule="auto"/>
        <w:ind w:left="100" w:right="867"/>
      </w:pPr>
      <w:r>
        <w:rPr>
          <w:i/>
        </w:rPr>
        <w:t>v. Coon</w:t>
      </w:r>
      <w:r>
        <w:rPr/>
        <w:t>, 606 P. 2d 68, 70 (Colo. 1980). The Court has given Mr. Beeson that guarantee by approving the testimony of Mr. Osborne.</w:t>
      </w:r>
    </w:p>
    <w:p>
      <w:pPr>
        <w:spacing w:after="0" w:line="480" w:lineRule="auto"/>
        <w:sectPr>
          <w:pgSz w:w="12240" w:h="15840"/>
          <w:pgMar w:top="1500" w:bottom="280" w:left="1340" w:right="1220"/>
        </w:sectPr>
      </w:pPr>
    </w:p>
    <w:p>
      <w:pPr>
        <w:pStyle w:val="BodyText"/>
        <w:rPr>
          <w:sz w:val="20"/>
        </w:rPr>
      </w:pPr>
    </w:p>
    <w:p>
      <w:pPr>
        <w:pStyle w:val="BodyText"/>
        <w:spacing w:before="4"/>
        <w:rPr>
          <w:sz w:val="29"/>
        </w:rPr>
      </w:pPr>
    </w:p>
    <w:p>
      <w:pPr>
        <w:pStyle w:val="BodyText"/>
        <w:spacing w:line="480" w:lineRule="auto" w:before="90"/>
        <w:ind w:left="100" w:right="241" w:firstLine="720"/>
      </w:pPr>
      <w:r>
        <w:rPr>
          <w:b/>
        </w:rPr>
        <w:t>WHEREFORE</w:t>
      </w:r>
      <w:r>
        <w:rPr/>
        <w:t>, in reliance on the argument and supporting facts set forth above, Shawn Beeson respectfully asks the Court to deny the relief sought by Plaintiffs.</w:t>
      </w:r>
    </w:p>
    <w:p>
      <w:pPr>
        <w:pStyle w:val="BodyText"/>
        <w:spacing w:before="1"/>
        <w:ind w:left="820"/>
      </w:pPr>
      <w:r>
        <w:rPr>
          <w:b/>
        </w:rPr>
        <w:t>DATED </w:t>
      </w:r>
      <w:r>
        <w:rPr/>
        <w:t>this 28th day of April, 2017.</w:t>
      </w:r>
    </w:p>
    <w:p>
      <w:pPr>
        <w:pStyle w:val="BodyText"/>
        <w:rPr>
          <w:sz w:val="26"/>
        </w:rPr>
      </w:pPr>
    </w:p>
    <w:p>
      <w:pPr>
        <w:pStyle w:val="BodyText"/>
        <w:rPr>
          <w:sz w:val="22"/>
        </w:rPr>
      </w:pPr>
    </w:p>
    <w:p>
      <w:pPr>
        <w:pStyle w:val="BodyText"/>
        <w:ind w:left="4654"/>
      </w:pPr>
      <w:r>
        <w:rPr/>
        <w:t>Respectfully Submitted,</w:t>
      </w:r>
    </w:p>
    <w:p>
      <w:pPr>
        <w:pStyle w:val="BodyText"/>
        <w:spacing w:before="7"/>
        <w:rPr>
          <w:sz w:val="22"/>
        </w:rPr>
      </w:pPr>
    </w:p>
    <w:p>
      <w:pPr>
        <w:tabs>
          <w:tab w:pos="7707" w:val="left" w:leader="none"/>
        </w:tabs>
        <w:spacing w:before="0"/>
        <w:ind w:left="4654" w:right="1970" w:firstLine="0"/>
        <w:jc w:val="left"/>
        <w:rPr>
          <w:sz w:val="24"/>
        </w:rPr>
      </w:pPr>
      <w:r>
        <w:rPr>
          <w:position w:val="9"/>
          <w:sz w:val="16"/>
        </w:rPr>
        <w:t>*</w:t>
      </w:r>
      <w:r>
        <w:rPr>
          <w:sz w:val="24"/>
        </w:rPr>
        <w:t>S/</w:t>
      </w:r>
      <w:r>
        <w:rPr>
          <w:spacing w:val="-1"/>
          <w:sz w:val="24"/>
        </w:rPr>
        <w:t> </w:t>
      </w:r>
      <w:r>
        <w:rPr>
          <w:i/>
          <w:sz w:val="24"/>
          <w:u w:val="thick"/>
        </w:rPr>
        <w:t>Wadi</w:t>
      </w:r>
      <w:r>
        <w:rPr>
          <w:i/>
          <w:spacing w:val="-2"/>
          <w:sz w:val="24"/>
          <w:u w:val="thick"/>
        </w:rPr>
        <w:t> </w:t>
      </w:r>
      <w:r>
        <w:rPr>
          <w:i/>
          <w:sz w:val="24"/>
          <w:u w:val="thick"/>
        </w:rPr>
        <w:t>Muhaisen</w:t>
        <w:tab/>
      </w:r>
      <w:r>
        <w:rPr>
          <w:i/>
          <w:sz w:val="24"/>
        </w:rPr>
        <w:t> </w:t>
      </w:r>
      <w:r>
        <w:rPr>
          <w:sz w:val="24"/>
        </w:rPr>
        <w:t>Wadi Muhaisen, 34470 Muhaisen &amp; Muhaisen,</w:t>
      </w:r>
      <w:r>
        <w:rPr>
          <w:spacing w:val="-4"/>
          <w:sz w:val="24"/>
        </w:rPr>
        <w:t> </w:t>
      </w:r>
      <w:r>
        <w:rPr>
          <w:sz w:val="24"/>
        </w:rPr>
        <w:t>LLC</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2"/>
        </w:rPr>
      </w:pPr>
    </w:p>
    <w:p>
      <w:pPr>
        <w:spacing w:before="1"/>
        <w:ind w:left="3186" w:right="0" w:firstLine="0"/>
        <w:jc w:val="left"/>
        <w:rPr>
          <w:b/>
          <w:sz w:val="24"/>
        </w:rPr>
      </w:pPr>
      <w:r>
        <w:rPr>
          <w:b/>
          <w:sz w:val="24"/>
        </w:rPr>
        <w:t>CERTIFICATE OF</w:t>
      </w:r>
      <w:r>
        <w:rPr>
          <w:b/>
          <w:spacing w:val="-3"/>
          <w:sz w:val="24"/>
        </w:rPr>
        <w:t> </w:t>
      </w:r>
      <w:r>
        <w:rPr>
          <w:b/>
          <w:sz w:val="24"/>
        </w:rPr>
        <w:t>SERVICE</w:t>
      </w:r>
    </w:p>
    <w:p>
      <w:pPr>
        <w:pStyle w:val="BodyText"/>
        <w:spacing w:before="10"/>
        <w:rPr>
          <w:b/>
        </w:rPr>
      </w:pPr>
    </w:p>
    <w:p>
      <w:pPr>
        <w:pStyle w:val="BodyText"/>
        <w:spacing w:line="225" w:lineRule="auto" w:before="1"/>
        <w:ind w:left="100" w:right="320" w:firstLine="720"/>
      </w:pPr>
      <w:r>
        <w:rPr/>
        <w:t>I, the undersigned, hereby certify that a copy of the foregoing pleading was delivered</w:t>
      </w:r>
      <w:r>
        <w:rPr>
          <w:spacing w:val="-11"/>
        </w:rPr>
        <w:t> </w:t>
      </w:r>
      <w:r>
        <w:rPr/>
        <w:t>via ICCES and email to the following on this 28</w:t>
      </w:r>
      <w:r>
        <w:rPr>
          <w:position w:val="9"/>
          <w:sz w:val="16"/>
        </w:rPr>
        <w:t>th </w:t>
      </w:r>
      <w:r>
        <w:rPr/>
        <w:t>day of April</w:t>
      </w:r>
      <w:r>
        <w:rPr>
          <w:spacing w:val="-21"/>
        </w:rPr>
        <w:t> </w:t>
      </w:r>
      <w:r>
        <w:rPr/>
        <w:t>2017:</w:t>
      </w:r>
    </w:p>
    <w:p>
      <w:pPr>
        <w:pStyle w:val="BodyText"/>
        <w:spacing w:before="3"/>
      </w:pPr>
    </w:p>
    <w:p>
      <w:pPr>
        <w:pStyle w:val="BodyText"/>
        <w:ind w:left="100" w:right="6693"/>
      </w:pPr>
      <w:r>
        <w:rPr/>
        <w:t>Nathan Silver, Esq. </w:t>
      </w:r>
      <w:hyperlink r:id="rId6">
        <w:r>
          <w:rPr/>
          <w:t>nathan@silverlawdenver.com</w:t>
        </w:r>
      </w:hyperlink>
    </w:p>
    <w:p>
      <w:pPr>
        <w:pStyle w:val="BodyText"/>
        <w:rPr>
          <w:sz w:val="26"/>
        </w:rPr>
      </w:pPr>
    </w:p>
    <w:p>
      <w:pPr>
        <w:pStyle w:val="BodyText"/>
        <w:spacing w:before="1"/>
        <w:rPr>
          <w:sz w:val="22"/>
        </w:rPr>
      </w:pPr>
    </w:p>
    <w:p>
      <w:pPr>
        <w:tabs>
          <w:tab w:pos="2880" w:val="left" w:leader="none"/>
        </w:tabs>
        <w:spacing w:line="275" w:lineRule="exact" w:before="0"/>
        <w:ind w:left="0" w:right="216" w:firstLine="0"/>
        <w:jc w:val="right"/>
        <w:rPr>
          <w:i/>
          <w:sz w:val="24"/>
        </w:rPr>
      </w:pPr>
      <w:r>
        <w:rPr>
          <w:i/>
          <w:sz w:val="24"/>
          <w:u w:val="single"/>
        </w:rPr>
        <w:t>   Yvette</w:t>
      </w:r>
      <w:r>
        <w:rPr>
          <w:i/>
          <w:spacing w:val="-3"/>
          <w:sz w:val="24"/>
          <w:u w:val="single"/>
        </w:rPr>
        <w:t> </w:t>
      </w:r>
      <w:r>
        <w:rPr>
          <w:i/>
          <w:sz w:val="24"/>
          <w:u w:val="single"/>
        </w:rPr>
        <w:t>Garcia</w:t>
        <w:tab/>
      </w:r>
    </w:p>
    <w:p>
      <w:pPr>
        <w:pStyle w:val="BodyText"/>
        <w:spacing w:line="275" w:lineRule="exact"/>
        <w:ind w:right="324"/>
        <w:jc w:val="right"/>
      </w:pPr>
      <w:r>
        <w:rPr/>
        <w:t>Muhaisen &amp; Muhaisen,</w:t>
      </w:r>
      <w:r>
        <w:rPr>
          <w:spacing w:val="-4"/>
        </w:rPr>
        <w:t> </w:t>
      </w:r>
      <w:r>
        <w:rPr/>
        <w:t>LLC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r>
        <w:rPr/>
        <w:pict>
          <v:line style="position:absolute;mso-position-horizontal-relative:page;mso-position-vertical-relative:paragraph;z-index:-1024;mso-wrap-distance-left:0;mso-wrap-distance-right:0" from="72pt,14.157207pt" to="216.02pt,14.157207pt" stroked="true" strokeweight=".48004pt" strokecolor="#000000">
            <v:stroke dashstyle="solid"/>
            <w10:wrap type="topAndBottom"/>
          </v:line>
        </w:pict>
      </w:r>
    </w:p>
    <w:p>
      <w:pPr>
        <w:spacing w:before="52"/>
        <w:ind w:left="100" w:right="241" w:firstLine="0"/>
        <w:jc w:val="left"/>
        <w:rPr>
          <w:i/>
          <w:sz w:val="20"/>
        </w:rPr>
      </w:pPr>
      <w:r>
        <w:rPr>
          <w:position w:val="7"/>
          <w:sz w:val="13"/>
        </w:rPr>
        <w:t>* </w:t>
      </w:r>
      <w:r>
        <w:rPr>
          <w:i/>
          <w:sz w:val="20"/>
        </w:rPr>
        <w:t>The "S/" is a symbol representing the signature of the person whose name follows the "S/" on the electronically or </w:t>
      </w:r>
      <w:r>
        <w:rPr>
          <w:i/>
          <w:sz w:val="20"/>
        </w:rPr>
        <w:t>otherwise signed form of the E-Filed or E-Served document pursuant to C.R.C.P. 121 lr 1-26(1)(f). A printed or printable copy of an E-Filed or E-Served document with original or scanned signatures is maintained by the filing party and is available for inspection by other parties or the court upon request pursuant to C.R.C.P. 121 lr</w:t>
      </w:r>
      <w:r>
        <w:rPr>
          <w:i/>
          <w:spacing w:val="-16"/>
          <w:sz w:val="20"/>
        </w:rPr>
        <w:t> </w:t>
      </w:r>
      <w:r>
        <w:rPr>
          <w:i/>
          <w:sz w:val="20"/>
        </w:rPr>
        <w:t>1-26(7).</w:t>
      </w:r>
    </w:p>
    <w:sectPr>
      <w:pgSz w:w="12240" w:h="15840"/>
      <w:pgMar w:top="1500" w:bottom="28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1"/>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706" w:hanging="721"/>
      </w:pPr>
      <w:rPr>
        <w:rFonts w:hint="default"/>
      </w:rPr>
    </w:lvl>
    <w:lvl w:ilvl="2">
      <w:start w:val="0"/>
      <w:numFmt w:val="bullet"/>
      <w:lvlText w:val="•"/>
      <w:lvlJc w:val="left"/>
      <w:pPr>
        <w:ind w:left="2592" w:hanging="721"/>
      </w:pPr>
      <w:rPr>
        <w:rFonts w:hint="default"/>
      </w:rPr>
    </w:lvl>
    <w:lvl w:ilvl="3">
      <w:start w:val="0"/>
      <w:numFmt w:val="bullet"/>
      <w:lvlText w:val="•"/>
      <w:lvlJc w:val="left"/>
      <w:pPr>
        <w:ind w:left="3478" w:hanging="721"/>
      </w:pPr>
      <w:rPr>
        <w:rFonts w:hint="default"/>
      </w:rPr>
    </w:lvl>
    <w:lvl w:ilvl="4">
      <w:start w:val="0"/>
      <w:numFmt w:val="bullet"/>
      <w:lvlText w:val="•"/>
      <w:lvlJc w:val="left"/>
      <w:pPr>
        <w:ind w:left="4364" w:hanging="721"/>
      </w:pPr>
      <w:rPr>
        <w:rFonts w:hint="default"/>
      </w:rPr>
    </w:lvl>
    <w:lvl w:ilvl="5">
      <w:start w:val="0"/>
      <w:numFmt w:val="bullet"/>
      <w:lvlText w:val="•"/>
      <w:lvlJc w:val="left"/>
      <w:pPr>
        <w:ind w:left="5250" w:hanging="721"/>
      </w:pPr>
      <w:rPr>
        <w:rFonts w:hint="default"/>
      </w:rPr>
    </w:lvl>
    <w:lvl w:ilvl="6">
      <w:start w:val="0"/>
      <w:numFmt w:val="bullet"/>
      <w:lvlText w:val="•"/>
      <w:lvlJc w:val="left"/>
      <w:pPr>
        <w:ind w:left="6136" w:hanging="721"/>
      </w:pPr>
      <w:rPr>
        <w:rFonts w:hint="default"/>
      </w:rPr>
    </w:lvl>
    <w:lvl w:ilvl="7">
      <w:start w:val="0"/>
      <w:numFmt w:val="bullet"/>
      <w:lvlText w:val="•"/>
      <w:lvlJc w:val="left"/>
      <w:pPr>
        <w:ind w:left="7022" w:hanging="721"/>
      </w:pPr>
      <w:rPr>
        <w:rFonts w:hint="default"/>
      </w:rPr>
    </w:lvl>
    <w:lvl w:ilvl="8">
      <w:start w:val="0"/>
      <w:numFmt w:val="bullet"/>
      <w:lvlText w:val="•"/>
      <w:lvlJc w:val="left"/>
      <w:pPr>
        <w:ind w:left="7908"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di@muhaisenlaw.com" TargetMode="External"/><Relationship Id="rId6" Type="http://schemas.openxmlformats.org/officeDocument/2006/relationships/hyperlink" Target="mailto:nathan@silverlawdenver.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2019-03-18T21:34:23Z</dcterms:created>
  <dcterms:modified xsi:type="dcterms:W3CDTF">2019-03-18T21:34:23Z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