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546" w:hRule="atLeast"/>
        </w:trPr>
        <w:tc>
          <w:tcPr>
            <w:tcW w:w="5920" w:type="dxa"/>
            <w:tcBorders>
              <w:bottom w:val="nil"/>
            </w:tcBorders>
          </w:tcPr>
          <w:p>
            <w:pPr>
              <w:pStyle w:val="TableParagraph"/>
              <w:spacing w:before="8"/>
              <w:ind w:left="0"/>
              <w:rPr>
                <w:sz w:val="23"/>
              </w:rPr>
            </w:pPr>
          </w:p>
          <w:p>
            <w:pPr>
              <w:pStyle w:val="TableParagraph"/>
              <w:spacing w:line="254" w:lineRule="exact"/>
              <w:rPr>
                <w:sz w:val="24"/>
              </w:rPr>
            </w:pPr>
            <w:r>
              <w:rPr>
                <w:sz w:val="24"/>
              </w:rPr>
              <w:t>DISTRICT COURT, DENVER COUNTY, COLORADO</w:t>
            </w:r>
          </w:p>
        </w:tc>
        <w:tc>
          <w:tcPr>
            <w:tcW w:w="3420" w:type="dxa"/>
            <w:tcBorders>
              <w:bottom w:val="nil"/>
            </w:tcBorders>
          </w:tcPr>
          <w:p>
            <w:pPr>
              <w:pStyle w:val="TableParagraph"/>
              <w:ind w:left="0"/>
              <w:rPr>
                <w:sz w:val="22"/>
              </w:rPr>
            </w:pPr>
          </w:p>
        </w:tc>
      </w:tr>
      <w:tr>
        <w:trPr>
          <w:trHeight w:val="217" w:hRule="atLeast"/>
        </w:trPr>
        <w:tc>
          <w:tcPr>
            <w:tcW w:w="5920" w:type="dxa"/>
            <w:tcBorders>
              <w:top w:val="nil"/>
              <w:bottom w:val="nil"/>
            </w:tcBorders>
          </w:tcPr>
          <w:p>
            <w:pPr>
              <w:pStyle w:val="TableParagraph"/>
              <w:spacing w:line="198" w:lineRule="exact"/>
              <w:ind w:left="0" w:right="-29"/>
              <w:jc w:val="right"/>
              <w:rPr>
                <w:sz w:val="20"/>
              </w:rPr>
            </w:pPr>
            <w:r>
              <w:rPr>
                <w:color w:val="0000FF"/>
                <w:sz w:val="20"/>
              </w:rPr>
              <w:t>DA</w:t>
            </w:r>
          </w:p>
        </w:tc>
        <w:tc>
          <w:tcPr>
            <w:tcW w:w="3420" w:type="dxa"/>
            <w:tcBorders>
              <w:top w:val="nil"/>
              <w:bottom w:val="nil"/>
            </w:tcBorders>
          </w:tcPr>
          <w:p>
            <w:pPr>
              <w:pStyle w:val="TableParagraph"/>
              <w:spacing w:line="198" w:lineRule="exact"/>
              <w:ind w:left="13"/>
              <w:rPr>
                <w:sz w:val="20"/>
              </w:rPr>
            </w:pPr>
            <w:r>
              <w:rPr>
                <w:color w:val="0000FF"/>
                <w:sz w:val="20"/>
              </w:rPr>
              <w:t>TE FILED: March 22, 2017 2:12 PM</w:t>
            </w:r>
          </w:p>
        </w:tc>
      </w:tr>
      <w:tr>
        <w:trPr>
          <w:trHeight w:val="616" w:hRule="atLeast"/>
        </w:trPr>
        <w:tc>
          <w:tcPr>
            <w:tcW w:w="5920" w:type="dxa"/>
            <w:tcBorders>
              <w:top w:val="nil"/>
              <w:bottom w:val="nil"/>
            </w:tcBorders>
          </w:tcPr>
          <w:p>
            <w:pPr>
              <w:pStyle w:val="TableParagraph"/>
              <w:tabs>
                <w:tab w:pos="5640" w:val="left" w:leader="none"/>
              </w:tabs>
              <w:spacing w:line="269" w:lineRule="exact"/>
              <w:ind w:right="-44"/>
              <w:rPr>
                <w:sz w:val="20"/>
              </w:rPr>
            </w:pPr>
            <w:r>
              <w:rPr>
                <w:sz w:val="24"/>
              </w:rPr>
              <w:t>Court Address:   Denver</w:t>
            </w:r>
            <w:r>
              <w:rPr>
                <w:spacing w:val="-5"/>
                <w:sz w:val="24"/>
              </w:rPr>
              <w:t> </w:t>
            </w:r>
            <w:r>
              <w:rPr>
                <w:sz w:val="24"/>
              </w:rPr>
              <w:t>County</w:t>
            </w:r>
            <w:r>
              <w:rPr>
                <w:spacing w:val="-1"/>
                <w:sz w:val="24"/>
              </w:rPr>
              <w:t> </w:t>
            </w:r>
            <w:r>
              <w:rPr>
                <w:sz w:val="24"/>
              </w:rPr>
              <w:t>Court</w:t>
              <w:tab/>
            </w:r>
            <w:r>
              <w:rPr>
                <w:color w:val="0000FF"/>
                <w:spacing w:val="-2"/>
                <w:position w:val="11"/>
                <w:sz w:val="20"/>
              </w:rPr>
              <w:t>FIL</w:t>
            </w:r>
          </w:p>
          <w:p>
            <w:pPr>
              <w:pStyle w:val="TableParagraph"/>
              <w:tabs>
                <w:tab w:pos="5640" w:val="left" w:leader="none"/>
              </w:tabs>
              <w:spacing w:line="327" w:lineRule="exact"/>
              <w:ind w:left="1727" w:right="-15"/>
              <w:rPr>
                <w:sz w:val="20"/>
              </w:rPr>
            </w:pPr>
            <w:r>
              <w:rPr>
                <w:sz w:val="24"/>
              </w:rPr>
              <w:t>1437 Bannock St.,</w:t>
            </w:r>
            <w:r>
              <w:rPr>
                <w:spacing w:val="-1"/>
                <w:sz w:val="24"/>
              </w:rPr>
              <w:t> </w:t>
            </w:r>
            <w:r>
              <w:rPr>
                <w:sz w:val="24"/>
              </w:rPr>
              <w:t>Room</w:t>
            </w:r>
            <w:r>
              <w:rPr>
                <w:spacing w:val="-3"/>
                <w:sz w:val="24"/>
              </w:rPr>
              <w:t> </w:t>
            </w:r>
            <w:r>
              <w:rPr>
                <w:sz w:val="24"/>
              </w:rPr>
              <w:t>256</w:t>
              <w:tab/>
            </w:r>
            <w:r>
              <w:rPr>
                <w:color w:val="0000FF"/>
                <w:spacing w:val="-7"/>
                <w:position w:val="17"/>
                <w:sz w:val="20"/>
              </w:rPr>
              <w:t>CA</w:t>
            </w:r>
          </w:p>
        </w:tc>
        <w:tc>
          <w:tcPr>
            <w:tcW w:w="3420" w:type="dxa"/>
            <w:tcBorders>
              <w:top w:val="nil"/>
              <w:bottom w:val="nil"/>
            </w:tcBorders>
          </w:tcPr>
          <w:p>
            <w:pPr>
              <w:pStyle w:val="TableParagraph"/>
              <w:spacing w:line="225" w:lineRule="auto"/>
              <w:ind w:left="2" w:right="906" w:firstLine="24"/>
              <w:rPr>
                <w:sz w:val="20"/>
              </w:rPr>
            </w:pPr>
            <w:r>
              <w:rPr>
                <w:color w:val="0000FF"/>
                <w:sz w:val="20"/>
              </w:rPr>
              <w:t>ING ID: C98B41E9DDC3F SE NUMBER:</w:t>
            </w:r>
            <w:r>
              <w:rPr>
                <w:color w:val="0000FF"/>
                <w:spacing w:val="23"/>
                <w:sz w:val="20"/>
              </w:rPr>
              <w:t> </w:t>
            </w:r>
            <w:r>
              <w:rPr>
                <w:color w:val="0000FF"/>
                <w:sz w:val="20"/>
              </w:rPr>
              <w:t>2015CV31709</w:t>
            </w:r>
          </w:p>
        </w:tc>
      </w:tr>
      <w:tr>
        <w:trPr>
          <w:trHeight w:val="275" w:hRule="atLeast"/>
        </w:trPr>
        <w:tc>
          <w:tcPr>
            <w:tcW w:w="5920" w:type="dxa"/>
            <w:tcBorders>
              <w:top w:val="nil"/>
              <w:bottom w:val="nil"/>
            </w:tcBorders>
          </w:tcPr>
          <w:p>
            <w:pPr>
              <w:pStyle w:val="TableParagraph"/>
              <w:spacing w:line="256" w:lineRule="exact"/>
              <w:ind w:left="1727"/>
              <w:rPr>
                <w:sz w:val="24"/>
              </w:rPr>
            </w:pPr>
            <w:r>
              <w:rPr>
                <w:sz w:val="24"/>
              </w:rPr>
              <w:t>Denver, CO</w:t>
            </w:r>
            <w:r>
              <w:rPr>
                <w:spacing w:val="58"/>
                <w:sz w:val="24"/>
              </w:rPr>
              <w:t> </w:t>
            </w:r>
            <w:r>
              <w:rPr>
                <w:sz w:val="24"/>
              </w:rPr>
              <w:t>80202</w:t>
            </w:r>
          </w:p>
        </w:tc>
        <w:tc>
          <w:tcPr>
            <w:tcW w:w="3420" w:type="dxa"/>
            <w:tcBorders>
              <w:top w:val="nil"/>
              <w:bottom w:val="nil"/>
            </w:tcBorders>
          </w:tcPr>
          <w:p>
            <w:pPr>
              <w:pStyle w:val="TableParagraph"/>
              <w:ind w:left="0"/>
              <w:rPr>
                <w:sz w:val="20"/>
              </w:rPr>
            </w:pPr>
          </w:p>
        </w:tc>
      </w:tr>
      <w:tr>
        <w:trPr>
          <w:trHeight w:val="569" w:hRule="atLeast"/>
        </w:trPr>
        <w:tc>
          <w:tcPr>
            <w:tcW w:w="5920" w:type="dxa"/>
            <w:tcBorders>
              <w:top w:val="nil"/>
              <w:bottom w:val="nil"/>
            </w:tcBorders>
          </w:tcPr>
          <w:p>
            <w:pPr>
              <w:pStyle w:val="TableParagraph"/>
              <w:spacing w:line="271" w:lineRule="exact"/>
              <w:ind w:left="1727"/>
              <w:rPr>
                <w:sz w:val="24"/>
              </w:rPr>
            </w:pPr>
            <w:r>
              <w:rPr>
                <w:sz w:val="24"/>
              </w:rPr>
              <w:t>(720) 865-8301</w:t>
            </w:r>
          </w:p>
        </w:tc>
        <w:tc>
          <w:tcPr>
            <w:tcW w:w="3420" w:type="dxa"/>
            <w:tcBorders>
              <w:top w:val="nil"/>
              <w:bottom w:val="nil"/>
            </w:tcBorders>
          </w:tcPr>
          <w:p>
            <w:pPr>
              <w:pStyle w:val="TableParagraph"/>
              <w:ind w:left="0"/>
              <w:rPr>
                <w:sz w:val="22"/>
              </w:rPr>
            </w:pPr>
          </w:p>
        </w:tc>
      </w:tr>
      <w:tr>
        <w:trPr>
          <w:trHeight w:val="569" w:hRule="atLeast"/>
        </w:trPr>
        <w:tc>
          <w:tcPr>
            <w:tcW w:w="5920" w:type="dxa"/>
            <w:tcBorders>
              <w:top w:val="nil"/>
              <w:bottom w:val="nil"/>
            </w:tcBorders>
          </w:tcPr>
          <w:p>
            <w:pPr>
              <w:pStyle w:val="TableParagraph"/>
              <w:spacing w:line="20" w:lineRule="exact"/>
              <w:ind w:left="69"/>
              <w:rPr>
                <w:sz w:val="2"/>
              </w:rPr>
            </w:pPr>
            <w:r>
              <w:rPr>
                <w:sz w:val="2"/>
              </w:rPr>
              <w:pict>
                <v:group style="width:288.2pt;height:.75pt;mso-position-horizontal-relative:char;mso-position-vertical-relative:line" coordorigin="0,0" coordsize="5764,15">
                  <v:line style="position:absolute" from="0,7" to="5764,7" stroked="true" strokeweight=".72pt" strokecolor="#000000">
                    <v:stroke dashstyle="solid"/>
                  </v:line>
                </v:group>
              </w:pict>
            </w:r>
            <w:r>
              <w:rPr>
                <w:sz w:val="2"/>
              </w:rPr>
            </w:r>
          </w:p>
          <w:p>
            <w:pPr>
              <w:pStyle w:val="TableParagraph"/>
              <w:spacing w:before="3"/>
              <w:ind w:left="0"/>
              <w:rPr>
                <w:sz w:val="23"/>
              </w:rPr>
            </w:pPr>
          </w:p>
          <w:p>
            <w:pPr>
              <w:pStyle w:val="TableParagraph"/>
              <w:spacing w:line="261" w:lineRule="exact"/>
              <w:rPr>
                <w:sz w:val="24"/>
              </w:rPr>
            </w:pPr>
            <w:r>
              <w:rPr>
                <w:sz w:val="24"/>
              </w:rPr>
              <w:t>Plaintiffs: ROBERT ABRAMS and ABRAMS &amp;</w:t>
            </w:r>
          </w:p>
        </w:tc>
        <w:tc>
          <w:tcPr>
            <w:tcW w:w="3420" w:type="dxa"/>
            <w:tcBorders>
              <w:top w:val="nil"/>
              <w:bottom w:val="nil"/>
            </w:tcBorders>
          </w:tcPr>
          <w:p>
            <w:pPr>
              <w:pStyle w:val="TableParagraph"/>
              <w:ind w:left="0"/>
              <w:rPr>
                <w:sz w:val="22"/>
              </w:rPr>
            </w:pPr>
          </w:p>
        </w:tc>
      </w:tr>
      <w:tr>
        <w:trPr>
          <w:trHeight w:val="275" w:hRule="atLeast"/>
        </w:trPr>
        <w:tc>
          <w:tcPr>
            <w:tcW w:w="5920" w:type="dxa"/>
            <w:tcBorders>
              <w:top w:val="nil"/>
              <w:bottom w:val="nil"/>
            </w:tcBorders>
          </w:tcPr>
          <w:p>
            <w:pPr>
              <w:pStyle w:val="TableParagraph"/>
              <w:spacing w:line="256" w:lineRule="exact"/>
              <w:rPr>
                <w:sz w:val="24"/>
              </w:rPr>
            </w:pPr>
            <w:r>
              <w:rPr>
                <w:sz w:val="24"/>
              </w:rPr>
              <w:t>ASSOCIATES, LLC, a Colorado limited liability</w:t>
            </w:r>
          </w:p>
        </w:tc>
        <w:tc>
          <w:tcPr>
            <w:tcW w:w="3420" w:type="dxa"/>
            <w:tcBorders>
              <w:top w:val="nil"/>
              <w:bottom w:val="nil"/>
            </w:tcBorders>
          </w:tcPr>
          <w:p>
            <w:pPr>
              <w:pStyle w:val="TableParagraph"/>
              <w:ind w:left="0"/>
              <w:rPr>
                <w:sz w:val="20"/>
              </w:rPr>
            </w:pPr>
          </w:p>
        </w:tc>
      </w:tr>
      <w:tr>
        <w:trPr>
          <w:trHeight w:val="413" w:hRule="atLeast"/>
        </w:trPr>
        <w:tc>
          <w:tcPr>
            <w:tcW w:w="5920" w:type="dxa"/>
            <w:tcBorders>
              <w:top w:val="nil"/>
              <w:bottom w:val="nil"/>
            </w:tcBorders>
          </w:tcPr>
          <w:p>
            <w:pPr>
              <w:pStyle w:val="TableParagraph"/>
              <w:spacing w:line="271" w:lineRule="exact"/>
              <w:rPr>
                <w:sz w:val="24"/>
              </w:rPr>
            </w:pPr>
            <w:r>
              <w:rPr>
                <w:sz w:val="24"/>
              </w:rPr>
              <w:t>company;</w:t>
            </w:r>
          </w:p>
        </w:tc>
        <w:tc>
          <w:tcPr>
            <w:tcW w:w="3420" w:type="dxa"/>
            <w:tcBorders>
              <w:top w:val="nil"/>
              <w:bottom w:val="nil"/>
            </w:tcBorders>
          </w:tcPr>
          <w:p>
            <w:pPr>
              <w:pStyle w:val="TableParagraph"/>
              <w:ind w:left="0"/>
              <w:rPr>
                <w:sz w:val="22"/>
              </w:rPr>
            </w:pPr>
          </w:p>
        </w:tc>
      </w:tr>
      <w:tr>
        <w:trPr>
          <w:trHeight w:val="673" w:hRule="atLeast"/>
        </w:trPr>
        <w:tc>
          <w:tcPr>
            <w:tcW w:w="5920" w:type="dxa"/>
            <w:tcBorders>
              <w:top w:val="nil"/>
              <w:bottom w:val="nil"/>
            </w:tcBorders>
          </w:tcPr>
          <w:p>
            <w:pPr>
              <w:pStyle w:val="TableParagraph"/>
              <w:spacing w:before="133"/>
              <w:rPr>
                <w:sz w:val="24"/>
              </w:rPr>
            </w:pPr>
            <w:r>
              <w:rPr>
                <w:sz w:val="24"/>
              </w:rPr>
              <w:t>v.</w:t>
            </w:r>
          </w:p>
        </w:tc>
        <w:tc>
          <w:tcPr>
            <w:tcW w:w="3420" w:type="dxa"/>
            <w:tcBorders>
              <w:top w:val="nil"/>
              <w:bottom w:val="nil"/>
            </w:tcBorders>
          </w:tcPr>
          <w:p>
            <w:pPr>
              <w:pStyle w:val="TableParagraph"/>
              <w:spacing w:before="8"/>
              <w:ind w:left="0"/>
              <w:rPr>
                <w:sz w:val="32"/>
              </w:rPr>
            </w:pPr>
          </w:p>
          <w:p>
            <w:pPr>
              <w:pStyle w:val="TableParagraph"/>
              <w:ind w:left="635"/>
              <w:rPr>
                <w:b/>
                <w:sz w:val="24"/>
              </w:rPr>
            </w:pPr>
            <w:r>
              <w:rPr>
                <w:b/>
                <w:sz w:val="24"/>
              </w:rPr>
              <w:t>COURT USE ONLY</w:t>
            </w:r>
          </w:p>
        </w:tc>
      </w:tr>
      <w:tr>
        <w:trPr>
          <w:trHeight w:val="566" w:hRule="atLeast"/>
        </w:trPr>
        <w:tc>
          <w:tcPr>
            <w:tcW w:w="5920" w:type="dxa"/>
            <w:tcBorders>
              <w:top w:val="nil"/>
            </w:tcBorders>
          </w:tcPr>
          <w:p>
            <w:pPr>
              <w:pStyle w:val="TableParagraph"/>
              <w:spacing w:before="11"/>
              <w:rPr>
                <w:sz w:val="24"/>
              </w:rPr>
            </w:pPr>
            <w:r>
              <w:rPr>
                <w:sz w:val="24"/>
              </w:rPr>
              <w:t>Defendants: SHAWN BEESON</w:t>
            </w:r>
          </w:p>
        </w:tc>
        <w:tc>
          <w:tcPr>
            <w:tcW w:w="3420" w:type="dxa"/>
            <w:tcBorders>
              <w:top w:val="nil"/>
            </w:tcBorders>
          </w:tcPr>
          <w:p>
            <w:pPr>
              <w:pStyle w:val="TableParagraph"/>
              <w:ind w:left="0"/>
              <w:rPr>
                <w:sz w:val="22"/>
              </w:rPr>
            </w:pPr>
          </w:p>
        </w:tc>
      </w:tr>
      <w:tr>
        <w:trPr>
          <w:trHeight w:val="278" w:hRule="atLeast"/>
        </w:trPr>
        <w:tc>
          <w:tcPr>
            <w:tcW w:w="5920" w:type="dxa"/>
            <w:tcBorders>
              <w:bottom w:val="nil"/>
            </w:tcBorders>
          </w:tcPr>
          <w:p>
            <w:pPr>
              <w:pStyle w:val="TableParagraph"/>
              <w:spacing w:line="258" w:lineRule="exact"/>
              <w:rPr>
                <w:sz w:val="24"/>
              </w:rPr>
            </w:pPr>
            <w:r>
              <w:rPr>
                <w:sz w:val="24"/>
              </w:rPr>
              <w:t>Attorneys for Plaintiffs:</w:t>
            </w:r>
          </w:p>
        </w:tc>
        <w:tc>
          <w:tcPr>
            <w:tcW w:w="3420" w:type="dxa"/>
            <w:tcBorders>
              <w:bottom w:val="nil"/>
            </w:tcBorders>
          </w:tcPr>
          <w:p>
            <w:pPr>
              <w:pStyle w:val="TableParagraph"/>
              <w:ind w:left="0"/>
              <w:rPr>
                <w:sz w:val="20"/>
              </w:rPr>
            </w:pPr>
          </w:p>
        </w:tc>
      </w:tr>
      <w:tr>
        <w:trPr>
          <w:trHeight w:val="275" w:hRule="atLeast"/>
        </w:trPr>
        <w:tc>
          <w:tcPr>
            <w:tcW w:w="5920" w:type="dxa"/>
            <w:tcBorders>
              <w:top w:val="nil"/>
              <w:bottom w:val="nil"/>
            </w:tcBorders>
          </w:tcPr>
          <w:p>
            <w:pPr>
              <w:pStyle w:val="TableParagraph"/>
              <w:ind w:left="0"/>
              <w:rPr>
                <w:sz w:val="20"/>
              </w:rPr>
            </w:pPr>
          </w:p>
        </w:tc>
        <w:tc>
          <w:tcPr>
            <w:tcW w:w="3420" w:type="dxa"/>
            <w:tcBorders>
              <w:top w:val="nil"/>
              <w:bottom w:val="nil"/>
            </w:tcBorders>
          </w:tcPr>
          <w:p>
            <w:pPr>
              <w:pStyle w:val="TableParagraph"/>
              <w:spacing w:line="255" w:lineRule="exact"/>
              <w:rPr>
                <w:sz w:val="24"/>
              </w:rPr>
            </w:pPr>
            <w:r>
              <w:rPr>
                <w:sz w:val="24"/>
              </w:rPr>
              <w:t>Case Number: 2015CV31709</w:t>
            </w:r>
          </w:p>
        </w:tc>
      </w:tr>
      <w:tr>
        <w:trPr>
          <w:trHeight w:val="2070" w:hRule="atLeast"/>
        </w:trPr>
        <w:tc>
          <w:tcPr>
            <w:tcW w:w="5920" w:type="dxa"/>
            <w:tcBorders>
              <w:top w:val="nil"/>
              <w:bottom w:val="nil"/>
            </w:tcBorders>
          </w:tcPr>
          <w:p>
            <w:pPr>
              <w:pStyle w:val="TableParagraph"/>
              <w:spacing w:line="271" w:lineRule="exact"/>
              <w:rPr>
                <w:sz w:val="24"/>
              </w:rPr>
            </w:pPr>
            <w:r>
              <w:rPr>
                <w:sz w:val="24"/>
              </w:rPr>
              <w:t>Nathan Silver</w:t>
            </w:r>
          </w:p>
          <w:p>
            <w:pPr>
              <w:pStyle w:val="TableParagraph"/>
              <w:ind w:right="3348"/>
              <w:rPr>
                <w:sz w:val="24"/>
              </w:rPr>
            </w:pPr>
            <w:r>
              <w:rPr>
                <w:sz w:val="24"/>
              </w:rPr>
              <w:t>Silver Law Firm, LLC 700 17</w:t>
            </w:r>
            <w:r>
              <w:rPr>
                <w:sz w:val="24"/>
                <w:vertAlign w:val="superscript"/>
              </w:rPr>
              <w:t>th</w:t>
            </w:r>
            <w:r>
              <w:rPr>
                <w:sz w:val="24"/>
                <w:vertAlign w:val="baseline"/>
              </w:rPr>
              <w:t> Street, Suite 650</w:t>
            </w:r>
          </w:p>
          <w:p>
            <w:pPr>
              <w:pStyle w:val="TableParagraph"/>
              <w:rPr>
                <w:sz w:val="24"/>
              </w:rPr>
            </w:pPr>
            <w:r>
              <w:rPr>
                <w:sz w:val="24"/>
              </w:rPr>
              <w:t>Denver, Colorado 80202</w:t>
            </w:r>
          </w:p>
          <w:p>
            <w:pPr>
              <w:pStyle w:val="TableParagraph"/>
              <w:rPr>
                <w:sz w:val="24"/>
              </w:rPr>
            </w:pPr>
            <w:r>
              <w:rPr>
                <w:sz w:val="24"/>
              </w:rPr>
              <w:t>Phone: (303) 328-8510</w:t>
            </w:r>
          </w:p>
          <w:p>
            <w:pPr>
              <w:pStyle w:val="TableParagraph"/>
              <w:ind w:right="2136"/>
              <w:rPr>
                <w:sz w:val="24"/>
              </w:rPr>
            </w:pPr>
            <w:r>
              <w:rPr>
                <w:sz w:val="24"/>
              </w:rPr>
              <w:t>E-m</w:t>
            </w:r>
            <w:hyperlink r:id="rId6">
              <w:r>
                <w:rPr>
                  <w:sz w:val="24"/>
                </w:rPr>
                <w:t>ail: nathan@silverlawdenver.com</w:t>
              </w:r>
            </w:hyperlink>
            <w:r>
              <w:rPr>
                <w:sz w:val="24"/>
              </w:rPr>
              <w:t> Atty. Reg. # 28836</w:t>
            </w:r>
          </w:p>
        </w:tc>
        <w:tc>
          <w:tcPr>
            <w:tcW w:w="3420" w:type="dxa"/>
            <w:tcBorders>
              <w:top w:val="nil"/>
              <w:bottom w:val="nil"/>
            </w:tcBorders>
          </w:tcPr>
          <w:p>
            <w:pPr>
              <w:pStyle w:val="TableParagraph"/>
              <w:spacing w:before="6"/>
              <w:ind w:left="0"/>
              <w:rPr>
                <w:sz w:val="23"/>
              </w:rPr>
            </w:pPr>
          </w:p>
          <w:p>
            <w:pPr>
              <w:pStyle w:val="TableParagraph"/>
              <w:rPr>
                <w:sz w:val="24"/>
              </w:rPr>
            </w:pPr>
            <w:r>
              <w:rPr>
                <w:sz w:val="24"/>
              </w:rPr>
              <w:t>Division: 275</w:t>
            </w:r>
          </w:p>
        </w:tc>
      </w:tr>
      <w:tr>
        <w:trPr>
          <w:trHeight w:val="1379" w:hRule="atLeast"/>
        </w:trPr>
        <w:tc>
          <w:tcPr>
            <w:tcW w:w="5920" w:type="dxa"/>
            <w:tcBorders>
              <w:top w:val="nil"/>
              <w:bottom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tc>
        <w:tc>
          <w:tcPr>
            <w:tcW w:w="3420" w:type="dxa"/>
            <w:tcBorders>
              <w:top w:val="nil"/>
              <w:bottom w:val="nil"/>
            </w:tcBorders>
          </w:tcPr>
          <w:p>
            <w:pPr>
              <w:pStyle w:val="TableParagraph"/>
              <w:ind w:left="0"/>
              <w:rPr>
                <w:sz w:val="22"/>
              </w:rPr>
            </w:pPr>
          </w:p>
        </w:tc>
      </w:tr>
      <w:tr>
        <w:trPr>
          <w:trHeight w:val="1239" w:hRule="atLeast"/>
        </w:trPr>
        <w:tc>
          <w:tcPr>
            <w:tcW w:w="5920" w:type="dxa"/>
            <w:tcBorders>
              <w:top w:val="nil"/>
            </w:tcBorders>
          </w:tcPr>
          <w:p>
            <w:pPr>
              <w:pStyle w:val="TableParagraph"/>
              <w:spacing w:before="133"/>
              <w:rPr>
                <w:sz w:val="24"/>
              </w:rPr>
            </w:pPr>
            <w:r>
              <w:rPr>
                <w:sz w:val="24"/>
              </w:rPr>
              <w:t>Phone #: (303) 322-4115</w:t>
            </w:r>
          </w:p>
          <w:p>
            <w:pPr>
              <w:pStyle w:val="TableParagraph"/>
              <w:rPr>
                <w:sz w:val="24"/>
              </w:rPr>
            </w:pPr>
            <w:r>
              <w:rPr>
                <w:sz w:val="24"/>
              </w:rPr>
              <w:t>Fax #: (303) 333-0708</w:t>
            </w:r>
          </w:p>
          <w:p>
            <w:pPr>
              <w:pStyle w:val="TableParagraph"/>
              <w:spacing w:line="270" w:lineRule="atLeast"/>
              <w:ind w:right="2589"/>
              <w:rPr>
                <w:sz w:val="24"/>
              </w:rPr>
            </w:pPr>
            <w:r>
              <w:rPr>
                <w:sz w:val="24"/>
              </w:rPr>
              <w:t>E-m</w:t>
            </w:r>
            <w:hyperlink r:id="rId7">
              <w:r>
                <w:rPr>
                  <w:sz w:val="24"/>
                </w:rPr>
                <w:t>ail: Robert@AbramsLaw.net</w:t>
              </w:r>
            </w:hyperlink>
            <w:r>
              <w:rPr>
                <w:sz w:val="24"/>
              </w:rPr>
              <w:t> Atty. Reg. # 37950</w:t>
            </w:r>
          </w:p>
        </w:tc>
        <w:tc>
          <w:tcPr>
            <w:tcW w:w="3420" w:type="dxa"/>
            <w:tcBorders>
              <w:top w:val="nil"/>
            </w:tcBorders>
          </w:tcPr>
          <w:p>
            <w:pPr>
              <w:pStyle w:val="TableParagraph"/>
              <w:ind w:left="0"/>
              <w:rPr>
                <w:sz w:val="22"/>
              </w:rPr>
            </w:pPr>
          </w:p>
        </w:tc>
      </w:tr>
      <w:tr>
        <w:trPr>
          <w:trHeight w:val="1057" w:hRule="atLeast"/>
        </w:trPr>
        <w:tc>
          <w:tcPr>
            <w:tcW w:w="9340" w:type="dxa"/>
            <w:gridSpan w:val="2"/>
          </w:tcPr>
          <w:p>
            <w:pPr>
              <w:pStyle w:val="TableParagraph"/>
              <w:spacing w:before="229"/>
              <w:ind w:left="3395" w:right="124" w:hanging="3244"/>
              <w:rPr>
                <w:b/>
                <w:sz w:val="24"/>
              </w:rPr>
            </w:pPr>
            <w:r>
              <w:rPr>
                <w:b/>
                <w:sz w:val="24"/>
              </w:rPr>
              <w:t>PLAINTIFFS’ RESPONSE TO DEFENDANT’S MOTION TO STRIKE PLAINTIFFS’ MOTION TO COMPEL</w:t>
            </w:r>
          </w:p>
        </w:tc>
      </w:tr>
    </w:tbl>
    <w:p>
      <w:pPr>
        <w:pStyle w:val="BodyText"/>
        <w:spacing w:before="9"/>
        <w:ind w:left="0"/>
        <w:rPr>
          <w:sz w:val="16"/>
        </w:rPr>
      </w:pPr>
      <w:r>
        <w:rPr/>
        <w:pict>
          <v:shape style="position:absolute;margin-left:383.550293pt;margin-top:269.883423pt;width:10pt;height:10pt;mso-position-horizontal-relative:page;mso-position-vertical-relative:page;z-index:-5896" coordorigin="7671,5398" coordsize="200,200" path="m7771,5398l7671,5598,7871,5598,7771,5398xe" filled="true" fillcolor="#000000" stroked="false">
            <v:path arrowok="t"/>
            <v:fill type="solid"/>
            <w10:wrap type="none"/>
          </v:shape>
        </w:pict>
      </w:r>
      <w:r>
        <w:rPr/>
        <w:pict>
          <v:shape style="position:absolute;margin-left:518.300171pt;margin-top:269.883423pt;width:10pt;height:10pt;mso-position-horizontal-relative:page;mso-position-vertical-relative:page;z-index:-5872" coordorigin="10366,5398" coordsize="200,200" path="m10466,5398l10366,5598,10566,5598,10466,5398xe" filled="true" fillcolor="#000000" stroked="false">
            <v:path arrowok="t"/>
            <v:fill type="solid"/>
            <w10:wrap type="none"/>
          </v:shape>
        </w:pict>
      </w:r>
    </w:p>
    <w:p>
      <w:pPr>
        <w:pStyle w:val="BodyText"/>
        <w:spacing w:line="276" w:lineRule="auto" w:before="90"/>
        <w:ind w:right="287" w:firstLine="720"/>
        <w:jc w:val="both"/>
      </w:pPr>
      <w:r>
        <w:rPr/>
        <w:t>COMES NOW, Plaintiffs Robert Abrams and Abrams &amp; Associates, LLC, by their attorneys at Silver Law Firm, LLC and Abrams &amp; Associates, LLC, and hereby file their Response to Defendant’s Motion to Strike Plaintiff’s Motion to Compel. In support thereof, Plaintiffs state and allege as follows:</w:t>
      </w:r>
    </w:p>
    <w:p>
      <w:pPr>
        <w:spacing w:after="0" w:line="276" w:lineRule="auto"/>
        <w:jc w:val="both"/>
        <w:sectPr>
          <w:footerReference w:type="default" r:id="rId5"/>
          <w:type w:val="continuous"/>
          <w:pgSz w:w="12240" w:h="16350"/>
          <w:pgMar w:footer="1065" w:top="1520" w:bottom="1260" w:left="1420" w:right="1060"/>
          <w:pgNumType w:start="1"/>
        </w:sectPr>
      </w:pPr>
    </w:p>
    <w:p>
      <w:pPr>
        <w:pStyle w:val="Heading1"/>
        <w:spacing w:before="68"/>
        <w:ind w:left="3581" w:right="3758"/>
        <w:jc w:val="center"/>
        <w:rPr>
          <w:u w:val="none"/>
        </w:rPr>
      </w:pPr>
      <w:r>
        <w:rPr>
          <w:u w:val="thick"/>
        </w:rPr>
        <w:t>LEGAL AUTHORITY</w:t>
      </w:r>
    </w:p>
    <w:p>
      <w:pPr>
        <w:pStyle w:val="BodyText"/>
        <w:ind w:left="0"/>
        <w:rPr>
          <w:b/>
          <w:sz w:val="16"/>
        </w:rPr>
      </w:pPr>
    </w:p>
    <w:p>
      <w:pPr>
        <w:pStyle w:val="ListParagraph"/>
        <w:numPr>
          <w:ilvl w:val="0"/>
          <w:numId w:val="1"/>
        </w:numPr>
        <w:tabs>
          <w:tab w:pos="1549" w:val="left" w:leader="none"/>
          <w:tab w:pos="1550" w:val="left" w:leader="none"/>
        </w:tabs>
        <w:spacing w:line="480" w:lineRule="auto" w:before="90" w:after="0"/>
        <w:ind w:left="110" w:right="311" w:firstLine="720"/>
        <w:jc w:val="left"/>
        <w:rPr>
          <w:sz w:val="24"/>
        </w:rPr>
      </w:pPr>
      <w:r>
        <w:rPr>
          <w:sz w:val="24"/>
        </w:rPr>
        <w:t>C.R.C.P. 12(f). “Upon motion filed by a party within the time for responding to a pleading … or upon the court’s initiative at any time, the court may order any redundant, immaterial, impertinent, or scandalous matter stricken from any pleading, motion, or other</w:t>
      </w:r>
      <w:r>
        <w:rPr>
          <w:spacing w:val="-23"/>
          <w:sz w:val="24"/>
        </w:rPr>
        <w:t> </w:t>
      </w:r>
      <w:r>
        <w:rPr>
          <w:sz w:val="24"/>
        </w:rPr>
        <w:t>paper. The objection that a responsive pleading or separate defense therein fails to state a legal defense may be raised by motion filed under this section (f).” C.R.C.P.</w:t>
      </w:r>
      <w:r>
        <w:rPr>
          <w:spacing w:val="-5"/>
          <w:sz w:val="24"/>
        </w:rPr>
        <w:t> </w:t>
      </w:r>
      <w:r>
        <w:rPr>
          <w:sz w:val="24"/>
        </w:rPr>
        <w:t>12(f).</w:t>
      </w:r>
    </w:p>
    <w:p>
      <w:pPr>
        <w:pStyle w:val="Heading1"/>
        <w:spacing w:before="3"/>
        <w:ind w:left="4076"/>
        <w:rPr>
          <w:u w:val="none"/>
        </w:rPr>
      </w:pPr>
      <w:r>
        <w:rPr>
          <w:u w:val="thick"/>
        </w:rPr>
        <w:t>ARGUMENT</w:t>
      </w:r>
    </w:p>
    <w:p>
      <w:pPr>
        <w:pStyle w:val="ListParagraph"/>
        <w:numPr>
          <w:ilvl w:val="0"/>
          <w:numId w:val="1"/>
        </w:numPr>
        <w:tabs>
          <w:tab w:pos="1549" w:val="left" w:leader="none"/>
          <w:tab w:pos="1550" w:val="left" w:leader="none"/>
        </w:tabs>
        <w:spacing w:line="480" w:lineRule="auto" w:before="135" w:after="0"/>
        <w:ind w:left="110" w:right="289" w:firstLine="720"/>
        <w:jc w:val="left"/>
        <w:rPr>
          <w:sz w:val="24"/>
        </w:rPr>
      </w:pPr>
      <w:r>
        <w:rPr>
          <w:sz w:val="24"/>
        </w:rPr>
        <w:t>Defendant’s deadline to answer Plaintiffs’ discovery requests was February 16, 2017. Defendant failed to answer by that</w:t>
      </w:r>
      <w:r>
        <w:rPr>
          <w:spacing w:val="-5"/>
          <w:sz w:val="24"/>
        </w:rPr>
        <w:t> </w:t>
      </w:r>
      <w:r>
        <w:rPr>
          <w:sz w:val="24"/>
        </w:rPr>
        <w:t>deadline.</w:t>
      </w:r>
    </w:p>
    <w:p>
      <w:pPr>
        <w:pStyle w:val="ListParagraph"/>
        <w:numPr>
          <w:ilvl w:val="0"/>
          <w:numId w:val="1"/>
        </w:numPr>
        <w:tabs>
          <w:tab w:pos="1609" w:val="left" w:leader="none"/>
          <w:tab w:pos="1610" w:val="left" w:leader="none"/>
        </w:tabs>
        <w:spacing w:line="480" w:lineRule="auto" w:before="0" w:after="0"/>
        <w:ind w:left="110" w:right="290" w:firstLine="720"/>
        <w:jc w:val="left"/>
        <w:rPr>
          <w:sz w:val="24"/>
        </w:rPr>
      </w:pPr>
      <w:r>
        <w:rPr>
          <w:sz w:val="24"/>
        </w:rPr>
        <w:t>Opposing counsel never informed that Defendant’s discovery would be late, nor inquired of Plaintiffs’ position on the matter. Simply, no discovery was timely</w:t>
      </w:r>
      <w:r>
        <w:rPr>
          <w:spacing w:val="-11"/>
          <w:sz w:val="24"/>
        </w:rPr>
        <w:t> </w:t>
      </w:r>
      <w:r>
        <w:rPr>
          <w:sz w:val="24"/>
        </w:rPr>
        <w:t>produced.</w:t>
      </w:r>
    </w:p>
    <w:p>
      <w:pPr>
        <w:pStyle w:val="ListParagraph"/>
        <w:numPr>
          <w:ilvl w:val="0"/>
          <w:numId w:val="1"/>
        </w:numPr>
        <w:tabs>
          <w:tab w:pos="1549" w:val="left" w:leader="none"/>
          <w:tab w:pos="1550" w:val="left" w:leader="none"/>
        </w:tabs>
        <w:spacing w:line="480" w:lineRule="auto" w:before="1" w:after="0"/>
        <w:ind w:left="110" w:right="328" w:firstLine="720"/>
        <w:jc w:val="left"/>
        <w:rPr>
          <w:i/>
          <w:sz w:val="24"/>
        </w:rPr>
      </w:pPr>
      <w:r>
        <w:rPr>
          <w:sz w:val="24"/>
        </w:rPr>
        <w:t>On February 22, 2017, Plaintiffs contacted Defendant regarding his late discovery responses, wherein counsels agreed to extend the deadline for Defendant to respond only to Plaintiff’s requests to produce and written interrogatories until February 24, 2017, provided Defendant actually produced 100% of the requested discovery. </w:t>
      </w:r>
      <w:r>
        <w:rPr>
          <w:i/>
          <w:sz w:val="24"/>
        </w:rPr>
        <w:t>Exhibit</w:t>
      </w:r>
      <w:r>
        <w:rPr>
          <w:i/>
          <w:spacing w:val="-5"/>
          <w:sz w:val="24"/>
        </w:rPr>
        <w:t> </w:t>
      </w:r>
      <w:r>
        <w:rPr>
          <w:i/>
          <w:sz w:val="24"/>
        </w:rPr>
        <w:t>1.</w:t>
      </w:r>
    </w:p>
    <w:p>
      <w:pPr>
        <w:pStyle w:val="ListParagraph"/>
        <w:numPr>
          <w:ilvl w:val="0"/>
          <w:numId w:val="1"/>
        </w:numPr>
        <w:tabs>
          <w:tab w:pos="1549" w:val="left" w:leader="none"/>
          <w:tab w:pos="1550" w:val="left" w:leader="none"/>
        </w:tabs>
        <w:spacing w:line="480" w:lineRule="auto" w:before="0" w:after="0"/>
        <w:ind w:left="110" w:right="287" w:firstLine="720"/>
        <w:jc w:val="left"/>
        <w:rPr>
          <w:sz w:val="24"/>
        </w:rPr>
      </w:pPr>
      <w:r>
        <w:rPr>
          <w:sz w:val="24"/>
        </w:rPr>
        <w:t>Defendant provided a completely inadequate and incomplete discovery response on February 24, 2017, just before the extended deadline to which the parties</w:t>
      </w:r>
      <w:r>
        <w:rPr>
          <w:spacing w:val="-9"/>
          <w:sz w:val="24"/>
        </w:rPr>
        <w:t> </w:t>
      </w:r>
      <w:r>
        <w:rPr>
          <w:sz w:val="24"/>
        </w:rPr>
        <w:t>agreed.</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Plaintiffs conferred on their Motion to Compel on February 28, 2017 with a list of deficiencies, informing Defendant that Plaintiffs would not file if the deficiencies were cured within 3 days thereof. Defendant failed to cure same by the deadline, and Plaintiffs filed the Motion on March 6,</w:t>
      </w:r>
      <w:r>
        <w:rPr>
          <w:spacing w:val="-3"/>
          <w:sz w:val="24"/>
        </w:rPr>
        <w:t> </w:t>
      </w:r>
      <w:r>
        <w:rPr>
          <w:sz w:val="24"/>
        </w:rPr>
        <w:t>2017.</w:t>
      </w:r>
    </w:p>
    <w:p>
      <w:pPr>
        <w:pStyle w:val="ListParagraph"/>
        <w:numPr>
          <w:ilvl w:val="0"/>
          <w:numId w:val="1"/>
        </w:numPr>
        <w:tabs>
          <w:tab w:pos="1550" w:val="left" w:leader="none"/>
        </w:tabs>
        <w:spacing w:line="480" w:lineRule="auto" w:before="0" w:after="0"/>
        <w:ind w:left="110" w:right="286" w:firstLine="720"/>
        <w:jc w:val="both"/>
        <w:rPr>
          <w:sz w:val="24"/>
        </w:rPr>
      </w:pPr>
      <w:r>
        <w:rPr>
          <w:sz w:val="24"/>
        </w:rPr>
        <w:t>Plaintiffs believe there is no substantially justified or harmless reason for Defendant’s failure to timely disclose the requested discovery, especially when he received an extension from Plaintiffs to produce responses for all of the interrogatories and requests</w:t>
      </w:r>
      <w:r>
        <w:rPr>
          <w:spacing w:val="31"/>
          <w:sz w:val="24"/>
        </w:rPr>
        <w:t> </w:t>
      </w:r>
      <w:r>
        <w:rPr>
          <w:sz w:val="24"/>
        </w:rPr>
        <w:t>for</w:t>
      </w:r>
    </w:p>
    <w:p>
      <w:pPr>
        <w:spacing w:after="0" w:line="480" w:lineRule="auto"/>
        <w:jc w:val="both"/>
        <w:rPr>
          <w:sz w:val="24"/>
        </w:rPr>
        <w:sectPr>
          <w:pgSz w:w="12240" w:h="16350"/>
          <w:pgMar w:header="0" w:footer="1065" w:top="1460" w:bottom="1260" w:left="1420" w:right="1060"/>
        </w:sectPr>
      </w:pPr>
    </w:p>
    <w:p>
      <w:pPr>
        <w:pStyle w:val="BodyText"/>
        <w:spacing w:before="66"/>
      </w:pPr>
      <w:r>
        <w:rPr/>
        <w:t>production.</w:t>
      </w:r>
    </w:p>
    <w:p>
      <w:pPr>
        <w:pStyle w:val="BodyText"/>
        <w:ind w:left="0"/>
      </w:pPr>
    </w:p>
    <w:p>
      <w:pPr>
        <w:pStyle w:val="ListParagraph"/>
        <w:numPr>
          <w:ilvl w:val="0"/>
          <w:numId w:val="1"/>
        </w:numPr>
        <w:tabs>
          <w:tab w:pos="1550" w:val="left" w:leader="none"/>
        </w:tabs>
        <w:spacing w:line="480" w:lineRule="auto" w:before="0" w:after="0"/>
        <w:ind w:left="110" w:right="288" w:firstLine="720"/>
        <w:jc w:val="both"/>
        <w:rPr>
          <w:sz w:val="24"/>
        </w:rPr>
      </w:pPr>
      <w:r>
        <w:rPr>
          <w:sz w:val="24"/>
        </w:rPr>
        <w:t>Defendant’s Motion to Strike is unnecessary and frivolous. Plaintiffs Motion to Compel is proper in this case in light of Defendant’s failure to respond to</w:t>
      </w:r>
      <w:r>
        <w:rPr>
          <w:spacing w:val="-16"/>
          <w:sz w:val="24"/>
        </w:rPr>
        <w:t> </w:t>
      </w:r>
      <w:r>
        <w:rPr>
          <w:sz w:val="24"/>
        </w:rPr>
        <w:t>discovery.</w:t>
      </w:r>
    </w:p>
    <w:p>
      <w:pPr>
        <w:pStyle w:val="ListParagraph"/>
        <w:numPr>
          <w:ilvl w:val="0"/>
          <w:numId w:val="1"/>
        </w:numPr>
        <w:tabs>
          <w:tab w:pos="1550" w:val="left" w:leader="none"/>
        </w:tabs>
        <w:spacing w:line="480" w:lineRule="auto" w:before="0" w:after="0"/>
        <w:ind w:left="110" w:right="286" w:firstLine="720"/>
        <w:jc w:val="both"/>
        <w:rPr>
          <w:i/>
          <w:sz w:val="24"/>
        </w:rPr>
      </w:pPr>
      <w:r>
        <w:rPr>
          <w:sz w:val="24"/>
        </w:rPr>
        <w:t>Defense counsel represents that he was given a mere 3 days to respond to discovery, when in reality he had over two months, 15 days of which were an extension granted by Plaintiffs. </w:t>
      </w:r>
      <w:r>
        <w:rPr>
          <w:i/>
          <w:sz w:val="24"/>
        </w:rPr>
        <w:t>See Defendant’s Motion, ¶</w:t>
      </w:r>
      <w:r>
        <w:rPr>
          <w:i/>
          <w:spacing w:val="-1"/>
          <w:sz w:val="24"/>
        </w:rPr>
        <w:t> </w:t>
      </w:r>
      <w:r>
        <w:rPr>
          <w:i/>
          <w:sz w:val="24"/>
        </w:rPr>
        <w:t>4.</w:t>
      </w:r>
    </w:p>
    <w:p>
      <w:pPr>
        <w:pStyle w:val="ListParagraph"/>
        <w:numPr>
          <w:ilvl w:val="0"/>
          <w:numId w:val="1"/>
        </w:numPr>
        <w:tabs>
          <w:tab w:pos="1550" w:val="left" w:leader="none"/>
        </w:tabs>
        <w:spacing w:line="480" w:lineRule="auto" w:before="0" w:after="0"/>
        <w:ind w:left="110" w:right="287" w:firstLine="720"/>
        <w:jc w:val="both"/>
        <w:rPr>
          <w:i/>
          <w:sz w:val="24"/>
        </w:rPr>
      </w:pPr>
      <w:r>
        <w:rPr>
          <w:sz w:val="24"/>
        </w:rPr>
        <w:t>Despite defense counsel’s representations that he is willing to work with Plaintiffs to cure deficiencies, Defendant has yet to fully produce or otherwise remedy the deficiencies as of March 22, 2017. </w:t>
      </w:r>
      <w:r>
        <w:rPr>
          <w:i/>
          <w:sz w:val="24"/>
        </w:rPr>
        <w:t>See id. at ¶</w:t>
      </w:r>
      <w:r>
        <w:rPr>
          <w:i/>
          <w:spacing w:val="-2"/>
          <w:sz w:val="24"/>
        </w:rPr>
        <w:t> </w:t>
      </w:r>
      <w:r>
        <w:rPr>
          <w:i/>
          <w:sz w:val="24"/>
        </w:rPr>
        <w:t>5.</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Instead</w:t>
      </w:r>
      <w:r>
        <w:rPr>
          <w:spacing w:val="17"/>
          <w:sz w:val="24"/>
        </w:rPr>
        <w:t> </w:t>
      </w:r>
      <w:r>
        <w:rPr>
          <w:sz w:val="24"/>
        </w:rPr>
        <w:t>of</w:t>
      </w:r>
      <w:r>
        <w:rPr>
          <w:spacing w:val="16"/>
          <w:sz w:val="24"/>
        </w:rPr>
        <w:t> </w:t>
      </w:r>
      <w:r>
        <w:rPr>
          <w:sz w:val="24"/>
        </w:rPr>
        <w:t>using</w:t>
      </w:r>
      <w:r>
        <w:rPr>
          <w:spacing w:val="17"/>
          <w:sz w:val="24"/>
        </w:rPr>
        <w:t> </w:t>
      </w:r>
      <w:r>
        <w:rPr>
          <w:sz w:val="24"/>
        </w:rPr>
        <w:t>this</w:t>
      </w:r>
      <w:r>
        <w:rPr>
          <w:spacing w:val="16"/>
          <w:sz w:val="24"/>
        </w:rPr>
        <w:t> </w:t>
      </w:r>
      <w:r>
        <w:rPr>
          <w:sz w:val="24"/>
        </w:rPr>
        <w:t>time</w:t>
      </w:r>
      <w:r>
        <w:rPr>
          <w:spacing w:val="18"/>
          <w:sz w:val="24"/>
        </w:rPr>
        <w:t> </w:t>
      </w:r>
      <w:r>
        <w:rPr>
          <w:sz w:val="24"/>
        </w:rPr>
        <w:t>to</w:t>
      </w:r>
      <w:r>
        <w:rPr>
          <w:spacing w:val="17"/>
          <w:sz w:val="24"/>
        </w:rPr>
        <w:t> </w:t>
      </w:r>
      <w:r>
        <w:rPr>
          <w:sz w:val="24"/>
        </w:rPr>
        <w:t>attempt</w:t>
      </w:r>
      <w:r>
        <w:rPr>
          <w:spacing w:val="17"/>
          <w:sz w:val="24"/>
        </w:rPr>
        <w:t> </w:t>
      </w:r>
      <w:r>
        <w:rPr>
          <w:sz w:val="24"/>
        </w:rPr>
        <w:t>to</w:t>
      </w:r>
      <w:r>
        <w:rPr>
          <w:spacing w:val="17"/>
          <w:sz w:val="24"/>
        </w:rPr>
        <w:t> </w:t>
      </w:r>
      <w:r>
        <w:rPr>
          <w:sz w:val="24"/>
        </w:rPr>
        <w:t>cure,</w:t>
      </w:r>
      <w:r>
        <w:rPr>
          <w:spacing w:val="17"/>
          <w:sz w:val="24"/>
        </w:rPr>
        <w:t> </w:t>
      </w:r>
      <w:r>
        <w:rPr>
          <w:sz w:val="24"/>
        </w:rPr>
        <w:t>Defendant</w:t>
      </w:r>
      <w:r>
        <w:rPr>
          <w:spacing w:val="18"/>
          <w:sz w:val="24"/>
        </w:rPr>
        <w:t> </w:t>
      </w:r>
      <w:r>
        <w:rPr>
          <w:sz w:val="24"/>
        </w:rPr>
        <w:t>filed</w:t>
      </w:r>
      <w:r>
        <w:rPr>
          <w:spacing w:val="17"/>
          <w:sz w:val="24"/>
        </w:rPr>
        <w:t> </w:t>
      </w:r>
      <w:r>
        <w:rPr>
          <w:sz w:val="24"/>
        </w:rPr>
        <w:t>a</w:t>
      </w:r>
      <w:r>
        <w:rPr>
          <w:spacing w:val="17"/>
          <w:sz w:val="24"/>
        </w:rPr>
        <w:t> </w:t>
      </w:r>
      <w:r>
        <w:rPr>
          <w:sz w:val="24"/>
        </w:rPr>
        <w:t>Motion</w:t>
      </w:r>
      <w:r>
        <w:rPr>
          <w:spacing w:val="15"/>
          <w:sz w:val="24"/>
        </w:rPr>
        <w:t> </w:t>
      </w:r>
      <w:r>
        <w:rPr>
          <w:sz w:val="24"/>
        </w:rPr>
        <w:t>to</w:t>
      </w:r>
      <w:r>
        <w:rPr>
          <w:spacing w:val="17"/>
          <w:sz w:val="24"/>
        </w:rPr>
        <w:t> </w:t>
      </w:r>
      <w:r>
        <w:rPr>
          <w:sz w:val="24"/>
        </w:rPr>
        <w:t>Strike.</w:t>
      </w:r>
    </w:p>
    <w:p>
      <w:pPr>
        <w:pStyle w:val="BodyText"/>
        <w:ind w:left="0"/>
      </w:pPr>
    </w:p>
    <w:p>
      <w:pPr>
        <w:pStyle w:val="BodyText"/>
        <w:spacing w:line="480" w:lineRule="auto" w:before="1"/>
      </w:pPr>
      <w:r>
        <w:rPr/>
        <w:t>Should the Court grant such a Motion, Plaintiffs will be prejudiced without adequate discovery responses after the discovery deadline of March 13, 2017.</w:t>
      </w:r>
    </w:p>
    <w:p>
      <w:pPr>
        <w:pStyle w:val="ListParagraph"/>
        <w:numPr>
          <w:ilvl w:val="0"/>
          <w:numId w:val="1"/>
        </w:numPr>
        <w:tabs>
          <w:tab w:pos="1550" w:val="left" w:leader="none"/>
        </w:tabs>
        <w:spacing w:line="480" w:lineRule="auto" w:before="0" w:after="0"/>
        <w:ind w:left="110" w:right="286" w:firstLine="720"/>
        <w:jc w:val="both"/>
        <w:rPr>
          <w:sz w:val="24"/>
        </w:rPr>
      </w:pPr>
      <w:r>
        <w:rPr>
          <w:sz w:val="24"/>
        </w:rPr>
        <w:t>Defense counsel’s claim that conferral on Plaintiffs’ Motion to Compel was not “meaningful” is absolutely frivolous and baseless in light of the timeline and extensions and does not meet the threshold contemplated in Rule 12(f) for striking redundant, immaterial, impertinent, or scandalous</w:t>
      </w:r>
      <w:r>
        <w:rPr>
          <w:spacing w:val="-3"/>
          <w:sz w:val="24"/>
        </w:rPr>
        <w:t> </w:t>
      </w:r>
      <w:r>
        <w:rPr>
          <w:sz w:val="24"/>
        </w:rPr>
        <w:t>matters.</w:t>
      </w:r>
    </w:p>
    <w:p>
      <w:pPr>
        <w:pStyle w:val="ListParagraph"/>
        <w:numPr>
          <w:ilvl w:val="0"/>
          <w:numId w:val="1"/>
        </w:numPr>
        <w:tabs>
          <w:tab w:pos="1550" w:val="left" w:leader="none"/>
        </w:tabs>
        <w:spacing w:line="480" w:lineRule="auto" w:before="0" w:after="0"/>
        <w:ind w:left="110" w:right="290" w:firstLine="720"/>
        <w:jc w:val="both"/>
        <w:rPr>
          <w:sz w:val="24"/>
        </w:rPr>
      </w:pPr>
      <w:r>
        <w:rPr>
          <w:sz w:val="24"/>
        </w:rPr>
        <w:t>For the above reasons, Defendant’s Motion to Strike Plaintiff’s Motion to Compel should be</w:t>
      </w:r>
      <w:r>
        <w:rPr>
          <w:spacing w:val="-1"/>
          <w:sz w:val="24"/>
        </w:rPr>
        <w:t> </w:t>
      </w:r>
      <w:r>
        <w:rPr>
          <w:sz w:val="24"/>
        </w:rPr>
        <w:t>denied.</w:t>
      </w:r>
    </w:p>
    <w:p>
      <w:pPr>
        <w:pStyle w:val="BodyText"/>
        <w:spacing w:line="276" w:lineRule="auto"/>
        <w:ind w:right="287" w:firstLine="720"/>
        <w:jc w:val="both"/>
      </w:pPr>
      <w:r>
        <w:rPr/>
        <w:t>WHEREFORE, Plaintiffs respectfully request this Court deny Defendant’s Motion to Strike Plaintiffs’ Motion to Compel, attorney’s fees and costs for responding to this frivolous and groundless Motion, pursuant to C.R.S. § 13-17-102, and for any other relief the Court deems just and proper under the circumstances.</w:t>
      </w:r>
    </w:p>
    <w:p>
      <w:pPr>
        <w:pStyle w:val="BodyText"/>
        <w:spacing w:before="6"/>
        <w:ind w:left="0"/>
        <w:rPr>
          <w:sz w:val="27"/>
        </w:rPr>
      </w:pPr>
    </w:p>
    <w:p>
      <w:pPr>
        <w:pStyle w:val="BodyText"/>
        <w:ind w:left="1550"/>
      </w:pPr>
      <w:r>
        <w:rPr/>
        <w:t>RESPECTFULLY SUBMITTED this 22</w:t>
      </w:r>
      <w:r>
        <w:rPr>
          <w:vertAlign w:val="superscript"/>
        </w:rPr>
        <w:t>nd</w:t>
      </w:r>
      <w:r>
        <w:rPr>
          <w:vertAlign w:val="baseline"/>
        </w:rPr>
        <w:t> day of March, 2017.</w:t>
      </w:r>
    </w:p>
    <w:p>
      <w:pPr>
        <w:pStyle w:val="BodyText"/>
        <w:ind w:left="0"/>
      </w:pPr>
    </w:p>
    <w:p>
      <w:pPr>
        <w:pStyle w:val="BodyText"/>
        <w:ind w:left="5150"/>
      </w:pPr>
      <w:r>
        <w:rPr/>
        <w:t>SILVER LAW FIRM, LLC</w:t>
      </w:r>
    </w:p>
    <w:p>
      <w:pPr>
        <w:pStyle w:val="BodyText"/>
        <w:spacing w:before="1"/>
        <w:ind w:left="0"/>
      </w:pPr>
    </w:p>
    <w:p>
      <w:pPr>
        <w:tabs>
          <w:tab w:pos="8029" w:val="left" w:leader="none"/>
        </w:tabs>
        <w:spacing w:before="1"/>
        <w:ind w:left="5150" w:right="0" w:firstLine="0"/>
        <w:jc w:val="left"/>
        <w:rPr>
          <w:i/>
          <w:sz w:val="24"/>
        </w:rPr>
      </w:pPr>
      <w:r>
        <w:rPr>
          <w:i/>
          <w:sz w:val="24"/>
          <w:u w:val="single"/>
        </w:rPr>
        <w:t>/s/ Nathan</w:t>
      </w:r>
      <w:r>
        <w:rPr>
          <w:i/>
          <w:spacing w:val="-5"/>
          <w:sz w:val="24"/>
          <w:u w:val="single"/>
        </w:rPr>
        <w:t> </w:t>
      </w:r>
      <w:r>
        <w:rPr>
          <w:i/>
          <w:sz w:val="24"/>
          <w:u w:val="single"/>
        </w:rPr>
        <w:t>Silver</w:t>
        <w:tab/>
      </w:r>
    </w:p>
    <w:p>
      <w:pPr>
        <w:spacing w:after="0"/>
        <w:jc w:val="left"/>
        <w:rPr>
          <w:sz w:val="24"/>
        </w:rPr>
        <w:sectPr>
          <w:pgSz w:w="12240" w:h="16350"/>
          <w:pgMar w:header="0" w:footer="1065" w:top="1460" w:bottom="1260" w:left="1420" w:right="1060"/>
        </w:sectPr>
      </w:pPr>
    </w:p>
    <w:p>
      <w:pPr>
        <w:pStyle w:val="BodyText"/>
        <w:spacing w:before="66"/>
        <w:ind w:left="5150"/>
      </w:pPr>
      <w:r>
        <w:rPr/>
        <w:t>Nathan Silver, Attorney at Law</w:t>
      </w:r>
    </w:p>
    <w:p>
      <w:pPr>
        <w:pStyle w:val="BodyText"/>
        <w:spacing w:before="2"/>
        <w:ind w:left="0"/>
      </w:pPr>
    </w:p>
    <w:p>
      <w:pPr>
        <w:spacing w:before="0"/>
        <w:ind w:left="5150" w:right="483" w:firstLine="0"/>
        <w:jc w:val="left"/>
        <w:rPr>
          <w:i/>
          <w:sz w:val="22"/>
        </w:rPr>
      </w:pPr>
      <w:r>
        <w:rPr>
          <w:i/>
          <w:sz w:val="22"/>
        </w:rPr>
        <w:t>(Original signature on file at Silver Law Firm, </w:t>
      </w:r>
      <w:r>
        <w:rPr>
          <w:i/>
          <w:sz w:val="22"/>
        </w:rPr>
        <w:t>LLC, pursuant to C.R.C.P. 121 § 1-26)</w:t>
      </w:r>
    </w:p>
    <w:p>
      <w:pPr>
        <w:pStyle w:val="BodyText"/>
        <w:ind w:left="0"/>
        <w:rPr>
          <w:i/>
        </w:rPr>
      </w:pPr>
    </w:p>
    <w:p>
      <w:pPr>
        <w:pStyle w:val="BodyText"/>
        <w:ind w:left="0"/>
        <w:rPr>
          <w:i/>
          <w:sz w:val="22"/>
        </w:rPr>
      </w:pPr>
    </w:p>
    <w:p>
      <w:pPr>
        <w:pStyle w:val="Heading1"/>
        <w:rPr>
          <w:u w:val="none"/>
        </w:rPr>
      </w:pPr>
      <w:r>
        <w:rPr>
          <w:u w:val="thick"/>
        </w:rPr>
        <w:t>CERTIFICATE OF SERVICE</w:t>
      </w:r>
    </w:p>
    <w:p>
      <w:pPr>
        <w:pStyle w:val="BodyText"/>
        <w:spacing w:before="9"/>
        <w:ind w:left="0"/>
        <w:rPr>
          <w:b/>
          <w:sz w:val="23"/>
        </w:rPr>
      </w:pPr>
    </w:p>
    <w:p>
      <w:pPr>
        <w:pStyle w:val="BodyText"/>
        <w:ind w:left="109" w:right="107" w:firstLine="720"/>
        <w:jc w:val="both"/>
      </w:pPr>
      <w:r>
        <w:rPr/>
        <w:t>I HEREBY CERTIFY I have this 22</w:t>
      </w:r>
      <w:r>
        <w:rPr>
          <w:vertAlign w:val="superscript"/>
        </w:rPr>
        <w:t>nd</w:t>
      </w:r>
      <w:r>
        <w:rPr>
          <w:vertAlign w:val="baseline"/>
        </w:rPr>
        <w:t> day of March, 2017, via ICCES, served a true and correct and correct copy of the foregoing PLAINTIFFS’ RESPONSE TO DEFENDANT’S MOTION TO STRIKE PLAINTIFFS’ MOTION TO COMPEL upon:</w:t>
      </w:r>
    </w:p>
    <w:p>
      <w:pPr>
        <w:pStyle w:val="BodyText"/>
        <w:ind w:left="0"/>
      </w:pPr>
    </w:p>
    <w:p>
      <w:pPr>
        <w:pStyle w:val="BodyText"/>
        <w:ind w:left="128"/>
      </w:pPr>
      <w:r>
        <w:rPr/>
        <w:t>Wadi Muhaisen</w:t>
      </w:r>
    </w:p>
    <w:p>
      <w:pPr>
        <w:pStyle w:val="BodyText"/>
        <w:ind w:left="128" w:right="6645"/>
      </w:pPr>
      <w:r>
        <w:rPr/>
        <w:t>Muhaisen &amp; Muhaisen, LLC 1435 Larimer Street, Suite 203</w:t>
      </w:r>
    </w:p>
    <w:p>
      <w:pPr>
        <w:pStyle w:val="BodyText"/>
        <w:ind w:left="128"/>
      </w:pPr>
      <w:r>
        <w:rPr/>
        <w:t>Denver, Colorado 80202</w:t>
      </w:r>
    </w:p>
    <w:p>
      <w:pPr>
        <w:spacing w:before="2"/>
        <w:ind w:left="128" w:right="0" w:firstLine="0"/>
        <w:jc w:val="left"/>
        <w:rPr>
          <w:i/>
          <w:sz w:val="24"/>
        </w:rPr>
      </w:pPr>
      <w:r>
        <w:rPr>
          <w:i/>
          <w:sz w:val="24"/>
        </w:rPr>
        <w:t>Attorney for Defendant</w:t>
      </w:r>
    </w:p>
    <w:p>
      <w:pPr>
        <w:pStyle w:val="BodyText"/>
        <w:ind w:left="0"/>
        <w:rPr>
          <w:i/>
          <w:sz w:val="26"/>
        </w:rPr>
      </w:pPr>
    </w:p>
    <w:p>
      <w:pPr>
        <w:tabs>
          <w:tab w:pos="9469" w:val="left" w:leader="none"/>
        </w:tabs>
        <w:spacing w:line="275" w:lineRule="exact" w:before="211"/>
        <w:ind w:left="5150" w:right="0" w:firstLine="0"/>
        <w:jc w:val="left"/>
        <w:rPr>
          <w:i/>
          <w:sz w:val="24"/>
        </w:rPr>
      </w:pPr>
      <w:r>
        <w:rPr>
          <w:i/>
          <w:sz w:val="24"/>
          <w:u w:val="single"/>
        </w:rPr>
        <w:t>/s/ Michael A.</w:t>
      </w:r>
      <w:r>
        <w:rPr>
          <w:i/>
          <w:spacing w:val="-6"/>
          <w:sz w:val="24"/>
          <w:u w:val="single"/>
        </w:rPr>
        <w:t> </w:t>
      </w:r>
      <w:r>
        <w:rPr>
          <w:i/>
          <w:sz w:val="24"/>
          <w:u w:val="single"/>
        </w:rPr>
        <w:t>Gubiotti</w:t>
        <w:tab/>
      </w:r>
    </w:p>
    <w:p>
      <w:pPr>
        <w:pStyle w:val="BodyText"/>
        <w:spacing w:line="275" w:lineRule="exact"/>
        <w:ind w:left="5150"/>
      </w:pPr>
      <w:r>
        <w:rPr/>
        <w:t>Michael A. Gubiotti, Law Clerk</w:t>
      </w:r>
    </w:p>
    <w:p>
      <w:pPr>
        <w:pStyle w:val="BodyText"/>
        <w:spacing w:before="1"/>
        <w:ind w:left="0"/>
      </w:pPr>
    </w:p>
    <w:p>
      <w:pPr>
        <w:spacing w:before="0"/>
        <w:ind w:left="5150" w:right="446" w:firstLine="0"/>
        <w:jc w:val="left"/>
        <w:rPr>
          <w:i/>
          <w:sz w:val="22"/>
        </w:rPr>
      </w:pPr>
      <w:r>
        <w:rPr>
          <w:i/>
          <w:sz w:val="22"/>
        </w:rPr>
        <w:t>(Original signature on file at Abrams &amp; Assoc. </w:t>
      </w:r>
      <w:r>
        <w:rPr>
          <w:i/>
          <w:sz w:val="22"/>
        </w:rPr>
        <w:t>LLC pursuant to C.R.C.P. 121 § 1-26)</w:t>
      </w:r>
    </w:p>
    <w:sectPr>
      <w:pgSz w:w="12240" w:h="16350"/>
      <w:pgMar w:header="0" w:footer="1065" w:top="1460" w:bottom="1260" w:left="14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5.5pt;margin-top:752.766663pt;width:10pt;height:15.3pt;mso-position-horizontal-relative:page;mso-position-vertical-relative:page;z-index:-5920"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84" w:hanging="720"/>
      </w:pPr>
      <w:rPr>
        <w:rFonts w:hint="default"/>
      </w:rPr>
    </w:lvl>
    <w:lvl w:ilvl="2">
      <w:start w:val="0"/>
      <w:numFmt w:val="bullet"/>
      <w:lvlText w:val="•"/>
      <w:lvlJc w:val="left"/>
      <w:pPr>
        <w:ind w:left="2048" w:hanging="720"/>
      </w:pPr>
      <w:rPr>
        <w:rFonts w:hint="default"/>
      </w:rPr>
    </w:lvl>
    <w:lvl w:ilvl="3">
      <w:start w:val="0"/>
      <w:numFmt w:val="bullet"/>
      <w:lvlText w:val="•"/>
      <w:lvlJc w:val="left"/>
      <w:pPr>
        <w:ind w:left="3012" w:hanging="720"/>
      </w:pPr>
      <w:rPr>
        <w:rFonts w:hint="default"/>
      </w:rPr>
    </w:lvl>
    <w:lvl w:ilvl="4">
      <w:start w:val="0"/>
      <w:numFmt w:val="bullet"/>
      <w:lvlText w:val="•"/>
      <w:lvlJc w:val="left"/>
      <w:pPr>
        <w:ind w:left="3976" w:hanging="720"/>
      </w:pPr>
      <w:rPr>
        <w:rFonts w:hint="default"/>
      </w:rPr>
    </w:lvl>
    <w:lvl w:ilvl="5">
      <w:start w:val="0"/>
      <w:numFmt w:val="bullet"/>
      <w:lvlText w:val="•"/>
      <w:lvlJc w:val="left"/>
      <w:pPr>
        <w:ind w:left="4940" w:hanging="720"/>
      </w:pPr>
      <w:rPr>
        <w:rFonts w:hint="default"/>
      </w:rPr>
    </w:lvl>
    <w:lvl w:ilvl="6">
      <w:start w:val="0"/>
      <w:numFmt w:val="bullet"/>
      <w:lvlText w:val="•"/>
      <w:lvlJc w:val="left"/>
      <w:pPr>
        <w:ind w:left="5904" w:hanging="720"/>
      </w:pPr>
      <w:rPr>
        <w:rFonts w:hint="default"/>
      </w:rPr>
    </w:lvl>
    <w:lvl w:ilvl="7">
      <w:start w:val="0"/>
      <w:numFmt w:val="bullet"/>
      <w:lvlText w:val="•"/>
      <w:lvlJc w:val="left"/>
      <w:pPr>
        <w:ind w:left="6868" w:hanging="720"/>
      </w:pPr>
      <w:rPr>
        <w:rFonts w:hint="default"/>
      </w:rPr>
    </w:lvl>
    <w:lvl w:ilvl="8">
      <w:start w:val="0"/>
      <w:numFmt w:val="bullet"/>
      <w:lvlText w:val="•"/>
      <w:lvlJc w:val="left"/>
      <w:pPr>
        <w:ind w:left="783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0"/>
    </w:pPr>
    <w:rPr>
      <w:rFonts w:ascii="Times New Roman" w:hAnsi="Times New Roman" w:eastAsia="Times New Roman" w:cs="Times New Roman"/>
      <w:sz w:val="24"/>
      <w:szCs w:val="24"/>
    </w:rPr>
  </w:style>
  <w:style w:styleId="Heading1" w:type="paragraph">
    <w:name w:val="Heading 1"/>
    <w:basedOn w:val="Normal"/>
    <w:uiPriority w:val="1"/>
    <w:qFormat/>
    <w:pPr>
      <w:ind w:left="3196"/>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10" w:right="286"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2019-03-18T21:40:07Z</dcterms:created>
  <dcterms:modified xsi:type="dcterms:W3CDTF">2019-03-18T21:40:07Z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