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9"/>
        <w:gridCol w:w="1122"/>
        <w:gridCol w:w="3600"/>
      </w:tblGrid>
      <w:tr>
        <w:trPr>
          <w:trHeight w:val="229" w:hRule="atLeast"/>
        </w:trPr>
        <w:tc>
          <w:tcPr>
            <w:tcW w:w="5339" w:type="dxa"/>
            <w:tcBorders>
              <w:top w:val="single" w:sz="4" w:space="0" w:color="000000"/>
              <w:left w:val="single" w:sz="4" w:space="0" w:color="000000"/>
            </w:tcBorders>
          </w:tcPr>
          <w:p>
            <w:pPr>
              <w:pStyle w:val="TableParagraph"/>
              <w:spacing w:line="209" w:lineRule="exact"/>
              <w:ind w:left="110"/>
              <w:rPr>
                <w:sz w:val="19"/>
              </w:rPr>
            </w:pPr>
            <w:r>
              <w:rPr>
                <w:w w:val="105"/>
                <w:sz w:val="19"/>
              </w:rPr>
              <w:t>DISTRICT COURT, DENVER COUNTY, COLORADO</w:t>
            </w:r>
          </w:p>
        </w:tc>
        <w:tc>
          <w:tcPr>
            <w:tcW w:w="1122"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339" w:type="dxa"/>
            <w:tcBorders>
              <w:left w:val="single" w:sz="4" w:space="0" w:color="000000"/>
            </w:tcBorders>
          </w:tcPr>
          <w:p>
            <w:pPr>
              <w:pStyle w:val="TableParagraph"/>
              <w:spacing w:line="210" w:lineRule="exact"/>
              <w:ind w:left="110"/>
              <w:rPr>
                <w:sz w:val="19"/>
              </w:rPr>
            </w:pPr>
            <w:r>
              <w:rPr>
                <w:w w:val="105"/>
                <w:sz w:val="19"/>
              </w:rPr>
              <w:t>Court Address:</w:t>
            </w:r>
          </w:p>
        </w:tc>
        <w:tc>
          <w:tcPr>
            <w:tcW w:w="112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30" w:hRule="atLeast"/>
        </w:trPr>
        <w:tc>
          <w:tcPr>
            <w:tcW w:w="5339" w:type="dxa"/>
            <w:tcBorders>
              <w:left w:val="single" w:sz="4" w:space="0" w:color="000000"/>
            </w:tcBorders>
          </w:tcPr>
          <w:p>
            <w:pPr>
              <w:pStyle w:val="TableParagraph"/>
              <w:spacing w:line="210" w:lineRule="exact"/>
              <w:ind w:left="110"/>
              <w:rPr>
                <w:sz w:val="19"/>
              </w:rPr>
            </w:pPr>
            <w:r>
              <w:rPr>
                <w:w w:val="105"/>
                <w:sz w:val="19"/>
              </w:rPr>
              <w:t>Denver District Court</w:t>
            </w:r>
          </w:p>
        </w:tc>
        <w:tc>
          <w:tcPr>
            <w:tcW w:w="112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30" w:hRule="atLeast"/>
        </w:trPr>
        <w:tc>
          <w:tcPr>
            <w:tcW w:w="5339" w:type="dxa"/>
            <w:tcBorders>
              <w:left w:val="single" w:sz="4" w:space="0" w:color="000000"/>
            </w:tcBorders>
          </w:tcPr>
          <w:p>
            <w:pPr>
              <w:pStyle w:val="TableParagraph"/>
              <w:spacing w:line="210" w:lineRule="exact"/>
              <w:ind w:left="110"/>
              <w:rPr>
                <w:sz w:val="19"/>
              </w:rPr>
            </w:pPr>
            <w:r>
              <w:rPr>
                <w:w w:val="105"/>
                <w:sz w:val="19"/>
              </w:rPr>
              <w:t>1437 Bannock St., Room 256</w:t>
            </w:r>
          </w:p>
        </w:tc>
        <w:tc>
          <w:tcPr>
            <w:tcW w:w="1122"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1" w:hRule="atLeast"/>
        </w:trPr>
        <w:tc>
          <w:tcPr>
            <w:tcW w:w="5339" w:type="dxa"/>
            <w:tcBorders>
              <w:left w:val="single" w:sz="4" w:space="0" w:color="000000"/>
            </w:tcBorders>
          </w:tcPr>
          <w:p>
            <w:pPr>
              <w:pStyle w:val="TableParagraph"/>
              <w:spacing w:line="216" w:lineRule="exact"/>
              <w:ind w:left="110"/>
              <w:rPr>
                <w:sz w:val="19"/>
              </w:rPr>
            </w:pPr>
            <w:r>
              <w:rPr>
                <w:w w:val="105"/>
                <w:sz w:val="19"/>
              </w:rPr>
              <w:t>Denver, CO 80202</w:t>
            </w:r>
          </w:p>
        </w:tc>
        <w:tc>
          <w:tcPr>
            <w:tcW w:w="1122" w:type="dxa"/>
            <w:tcBorders>
              <w:right w:val="single" w:sz="4" w:space="0" w:color="000000"/>
            </w:tcBorders>
          </w:tcPr>
          <w:p>
            <w:pPr>
              <w:pStyle w:val="TableParagraph"/>
              <w:spacing w:line="215" w:lineRule="exact" w:before="127"/>
              <w:ind w:left="446"/>
              <w:rPr>
                <w:rFonts w:ascii="Times New Roman"/>
                <w:sz w:val="20"/>
              </w:rPr>
            </w:pPr>
            <w:r>
              <w:rPr>
                <w:rFonts w:ascii="Times New Roman"/>
                <w:color w:val="0000FF"/>
                <w:sz w:val="20"/>
              </w:rPr>
              <w:t>DATE</w:t>
            </w:r>
          </w:p>
        </w:tc>
        <w:tc>
          <w:tcPr>
            <w:tcW w:w="3600" w:type="dxa"/>
            <w:tcBorders>
              <w:left w:val="single" w:sz="4" w:space="0" w:color="000000"/>
              <w:right w:val="single" w:sz="4" w:space="0" w:color="000000"/>
            </w:tcBorders>
          </w:tcPr>
          <w:p>
            <w:pPr>
              <w:pStyle w:val="TableParagraph"/>
              <w:spacing w:line="215" w:lineRule="exact" w:before="127"/>
              <w:ind w:left="49"/>
              <w:rPr>
                <w:rFonts w:ascii="Times New Roman"/>
                <w:sz w:val="20"/>
              </w:rPr>
            </w:pPr>
            <w:r>
              <w:rPr>
                <w:rFonts w:ascii="Times New Roman"/>
                <w:color w:val="0000FF"/>
                <w:sz w:val="20"/>
              </w:rPr>
              <w:t>ILED: August 7, 2015 5:18 PM</w:t>
            </w:r>
          </w:p>
        </w:tc>
      </w:tr>
      <w:tr>
        <w:trPr>
          <w:trHeight w:val="215" w:hRule="atLeast"/>
        </w:trPr>
        <w:tc>
          <w:tcPr>
            <w:tcW w:w="5339" w:type="dxa"/>
            <w:tcBorders>
              <w:left w:val="single" w:sz="4" w:space="0" w:color="000000"/>
            </w:tcBorders>
          </w:tcPr>
          <w:p>
            <w:pPr>
              <w:pStyle w:val="TableParagraph"/>
              <w:rPr>
                <w:rFonts w:ascii="Times New Roman"/>
                <w:sz w:val="14"/>
              </w:rPr>
            </w:pPr>
          </w:p>
        </w:tc>
        <w:tc>
          <w:tcPr>
            <w:tcW w:w="1122" w:type="dxa"/>
            <w:tcBorders>
              <w:right w:val="single" w:sz="4" w:space="0" w:color="000000"/>
            </w:tcBorders>
          </w:tcPr>
          <w:p>
            <w:pPr>
              <w:pStyle w:val="TableParagraph"/>
              <w:spacing w:line="196" w:lineRule="exact"/>
              <w:ind w:left="446"/>
              <w:rPr>
                <w:rFonts w:ascii="Times New Roman"/>
                <w:sz w:val="20"/>
              </w:rPr>
            </w:pPr>
            <w:r>
              <w:rPr>
                <w:rFonts w:ascii="Times New Roman"/>
                <w:color w:val="0000FF"/>
                <w:sz w:val="20"/>
              </w:rPr>
              <w:t>FILING</w:t>
            </w:r>
          </w:p>
        </w:tc>
        <w:tc>
          <w:tcPr>
            <w:tcW w:w="3600" w:type="dxa"/>
            <w:tcBorders>
              <w:left w:val="single" w:sz="4" w:space="0" w:color="000000"/>
              <w:right w:val="single" w:sz="4" w:space="0" w:color="000000"/>
            </w:tcBorders>
          </w:tcPr>
          <w:p>
            <w:pPr>
              <w:pStyle w:val="TableParagraph"/>
              <w:spacing w:line="196" w:lineRule="exact"/>
              <w:ind w:left="62"/>
              <w:rPr>
                <w:rFonts w:ascii="Times New Roman"/>
                <w:sz w:val="20"/>
              </w:rPr>
            </w:pPr>
            <w:r>
              <w:rPr>
                <w:rFonts w:ascii="Times New Roman"/>
                <w:color w:val="0000FF"/>
                <w:sz w:val="20"/>
              </w:rPr>
              <w:t>ID: 38093BBC6D78F</w:t>
            </w:r>
          </w:p>
        </w:tc>
      </w:tr>
      <w:tr>
        <w:trPr>
          <w:trHeight w:val="449" w:hRule="atLeast"/>
        </w:trPr>
        <w:tc>
          <w:tcPr>
            <w:tcW w:w="5339" w:type="dxa"/>
            <w:tcBorders>
              <w:left w:val="single" w:sz="4" w:space="0" w:color="000000"/>
            </w:tcBorders>
          </w:tcPr>
          <w:p>
            <w:pPr>
              <w:pStyle w:val="TableParagraph"/>
              <w:spacing w:before="97"/>
              <w:ind w:left="110"/>
              <w:rPr>
                <w:b/>
                <w:sz w:val="19"/>
              </w:rPr>
            </w:pPr>
            <w:r>
              <w:rPr>
                <w:b/>
                <w:w w:val="105"/>
                <w:sz w:val="19"/>
              </w:rPr>
              <w:t>In The Matter of:</w:t>
            </w:r>
          </w:p>
        </w:tc>
        <w:tc>
          <w:tcPr>
            <w:tcW w:w="1122" w:type="dxa"/>
            <w:tcBorders>
              <w:right w:val="single" w:sz="4" w:space="0" w:color="000000"/>
            </w:tcBorders>
          </w:tcPr>
          <w:p>
            <w:pPr>
              <w:pStyle w:val="TableParagraph"/>
              <w:spacing w:line="211" w:lineRule="exact"/>
              <w:ind w:left="446"/>
              <w:rPr>
                <w:rFonts w:ascii="Times New Roman"/>
                <w:sz w:val="20"/>
              </w:rPr>
            </w:pPr>
            <w:r>
              <w:rPr>
                <w:rFonts w:ascii="Times New Roman"/>
                <w:color w:val="0000FF"/>
                <w:sz w:val="20"/>
              </w:rPr>
              <w:t>CASE</w:t>
            </w:r>
          </w:p>
        </w:tc>
        <w:tc>
          <w:tcPr>
            <w:tcW w:w="3600" w:type="dxa"/>
            <w:tcBorders>
              <w:left w:val="single" w:sz="4" w:space="0" w:color="000000"/>
              <w:right w:val="single" w:sz="4" w:space="0" w:color="000000"/>
            </w:tcBorders>
          </w:tcPr>
          <w:p>
            <w:pPr>
              <w:pStyle w:val="TableParagraph"/>
              <w:spacing w:line="159" w:lineRule="exact"/>
              <w:ind w:left="61"/>
              <w:rPr>
                <w:rFonts w:ascii="Times New Roman"/>
                <w:sz w:val="20"/>
              </w:rPr>
            </w:pPr>
            <w:r>
              <w:rPr>
                <w:rFonts w:ascii="Times New Roman"/>
                <w:color w:val="0000FF"/>
                <w:sz w:val="20"/>
              </w:rPr>
              <w:t>UMBER: 2015CV31709</w:t>
            </w:r>
          </w:p>
          <w:p>
            <w:pPr>
              <w:pStyle w:val="TableParagraph"/>
              <w:spacing w:line="166" w:lineRule="exact"/>
              <w:ind w:left="902"/>
              <w:rPr>
                <w:b/>
                <w:sz w:val="19"/>
              </w:rPr>
            </w:pPr>
            <w:r>
              <w:rPr>
                <w:b/>
                <w:w w:val="105"/>
                <w:sz w:val="19"/>
              </w:rPr>
              <w:t>COURT USE ONLY</w:t>
            </w:r>
          </w:p>
        </w:tc>
      </w:tr>
      <w:tr>
        <w:trPr>
          <w:trHeight w:val="340" w:hRule="atLeast"/>
        </w:trPr>
        <w:tc>
          <w:tcPr>
            <w:tcW w:w="5339" w:type="dxa"/>
            <w:tcBorders>
              <w:left w:val="single" w:sz="4" w:space="0" w:color="000000"/>
            </w:tcBorders>
          </w:tcPr>
          <w:p>
            <w:pPr>
              <w:pStyle w:val="TableParagraph"/>
              <w:spacing w:line="213" w:lineRule="exact" w:before="108"/>
              <w:ind w:left="110"/>
              <w:rPr>
                <w:b/>
                <w:sz w:val="19"/>
              </w:rPr>
            </w:pPr>
            <w:r>
              <w:rPr>
                <w:b/>
                <w:w w:val="105"/>
                <w:sz w:val="19"/>
              </w:rPr>
              <w:t>ROBERT ABRAMS,</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339" w:type="dxa"/>
            <w:tcBorders>
              <w:left w:val="single" w:sz="4" w:space="0" w:color="000000"/>
            </w:tcBorders>
          </w:tcPr>
          <w:p>
            <w:pPr>
              <w:pStyle w:val="TableParagraph"/>
              <w:spacing w:line="216" w:lineRule="exact"/>
              <w:ind w:left="110"/>
              <w:rPr>
                <w:b/>
                <w:sz w:val="19"/>
              </w:rPr>
            </w:pPr>
            <w:r>
              <w:rPr>
                <w:b/>
                <w:w w:val="105"/>
                <w:sz w:val="19"/>
              </w:rPr>
              <w:t>Plaintiff</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60" w:hRule="atLeast"/>
        </w:trPr>
        <w:tc>
          <w:tcPr>
            <w:tcW w:w="5339" w:type="dxa"/>
            <w:tcBorders>
              <w:left w:val="single" w:sz="4" w:space="0" w:color="000000"/>
            </w:tcBorders>
          </w:tcPr>
          <w:p>
            <w:pPr>
              <w:pStyle w:val="TableParagraph"/>
              <w:spacing w:before="113"/>
              <w:ind w:left="110"/>
              <w:rPr>
                <w:b/>
                <w:sz w:val="19"/>
              </w:rPr>
            </w:pPr>
            <w:r>
              <w:rPr>
                <w:b/>
                <w:w w:val="105"/>
                <w:sz w:val="19"/>
              </w:rPr>
              <w:t>Vs.</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3" w:hRule="atLeast"/>
        </w:trPr>
        <w:tc>
          <w:tcPr>
            <w:tcW w:w="5339" w:type="dxa"/>
            <w:tcBorders>
              <w:left w:val="single" w:sz="4" w:space="0" w:color="000000"/>
            </w:tcBorders>
          </w:tcPr>
          <w:p>
            <w:pPr>
              <w:pStyle w:val="TableParagraph"/>
              <w:spacing w:line="210" w:lineRule="exact" w:before="113"/>
              <w:ind w:left="110"/>
              <w:rPr>
                <w:b/>
                <w:sz w:val="19"/>
              </w:rPr>
            </w:pPr>
            <w:r>
              <w:rPr>
                <w:b/>
                <w:w w:val="105"/>
                <w:sz w:val="19"/>
              </w:rPr>
              <w:t>SHAWN BEESON,</w:t>
            </w:r>
          </w:p>
        </w:tc>
        <w:tc>
          <w:tcPr>
            <w:tcW w:w="1122"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339" w:type="dxa"/>
            <w:tcBorders>
              <w:left w:val="single" w:sz="4" w:space="0" w:color="000000"/>
              <w:bottom w:val="single" w:sz="4" w:space="0" w:color="000000"/>
            </w:tcBorders>
          </w:tcPr>
          <w:p>
            <w:pPr>
              <w:pStyle w:val="TableParagraph"/>
              <w:spacing w:line="214" w:lineRule="exact"/>
              <w:ind w:left="110"/>
              <w:rPr>
                <w:b/>
                <w:sz w:val="19"/>
              </w:rPr>
            </w:pPr>
            <w:r>
              <w:rPr>
                <w:b/>
                <w:w w:val="105"/>
                <w:sz w:val="19"/>
              </w:rPr>
              <w:t>Respondent</w:t>
            </w:r>
          </w:p>
        </w:tc>
        <w:tc>
          <w:tcPr>
            <w:tcW w:w="1122"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82" w:hRule="atLeast"/>
        </w:trPr>
        <w:tc>
          <w:tcPr>
            <w:tcW w:w="6461" w:type="dxa"/>
            <w:gridSpan w:val="2"/>
            <w:tcBorders>
              <w:top w:val="single" w:sz="4" w:space="0" w:color="000000"/>
              <w:left w:val="single" w:sz="4" w:space="0" w:color="000000"/>
              <w:bottom w:val="single" w:sz="4" w:space="0" w:color="000000"/>
              <w:right w:val="single" w:sz="4" w:space="0" w:color="000000"/>
            </w:tcBorders>
          </w:tcPr>
          <w:p>
            <w:pPr>
              <w:pStyle w:val="TableParagraph"/>
              <w:spacing w:line="252" w:lineRule="auto"/>
              <w:ind w:left="110" w:right="3172"/>
              <w:rPr>
                <w:sz w:val="19"/>
              </w:rPr>
            </w:pPr>
            <w:r>
              <w:rPr>
                <w:w w:val="105"/>
                <w:sz w:val="19"/>
              </w:rPr>
              <w:t>Law Office of Michael P. Boyce, PC Michael Boyce</w:t>
            </w:r>
          </w:p>
          <w:p>
            <w:pPr>
              <w:pStyle w:val="TableParagraph"/>
              <w:spacing w:line="252" w:lineRule="auto"/>
              <w:ind w:left="110" w:right="2617"/>
              <w:rPr>
                <w:sz w:val="19"/>
              </w:rPr>
            </w:pPr>
            <w:r>
              <w:rPr>
                <w:w w:val="105"/>
                <w:sz w:val="19"/>
              </w:rPr>
              <w:t>3773 Cherry Creek Drive North, Suite 575 Denver, CO 80209</w:t>
            </w:r>
          </w:p>
          <w:p>
            <w:pPr>
              <w:pStyle w:val="TableParagraph"/>
              <w:ind w:left="110"/>
              <w:rPr>
                <w:sz w:val="19"/>
              </w:rPr>
            </w:pPr>
            <w:r>
              <w:rPr>
                <w:w w:val="105"/>
                <w:sz w:val="19"/>
              </w:rPr>
              <w:t>Phone Number: 303.565.0360 E-mail: </w:t>
            </w:r>
            <w:hyperlink r:id="rId5">
              <w:r>
                <w:rPr>
                  <w:w w:val="105"/>
                  <w:sz w:val="19"/>
                </w:rPr>
                <w:t>mike@boycelawoffice.com</w:t>
              </w:r>
            </w:hyperlink>
          </w:p>
          <w:p>
            <w:pPr>
              <w:pStyle w:val="TableParagraph"/>
              <w:spacing w:line="213" w:lineRule="exact" w:before="12"/>
              <w:ind w:left="110"/>
              <w:rPr>
                <w:sz w:val="19"/>
              </w:rPr>
            </w:pPr>
            <w:r>
              <w:rPr>
                <w:w w:val="105"/>
                <w:sz w:val="19"/>
              </w:rPr>
              <w:t>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15" w:lineRule="exact"/>
              <w:ind w:left="105"/>
              <w:rPr>
                <w:sz w:val="19"/>
              </w:rPr>
            </w:pPr>
            <w:r>
              <w:rPr>
                <w:w w:val="105"/>
                <w:sz w:val="19"/>
              </w:rPr>
              <w:t>Case Number: 15CV31709</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13" w:lineRule="exact" w:before="174"/>
              <w:ind w:left="105"/>
              <w:rPr>
                <w:sz w:val="19"/>
              </w:rPr>
            </w:pPr>
            <w:r>
              <w:rPr>
                <w:w w:val="105"/>
                <w:sz w:val="19"/>
              </w:rPr>
              <w:t>Division 409</w:t>
            </w:r>
          </w:p>
        </w:tc>
      </w:tr>
      <w:tr>
        <w:trPr>
          <w:trHeight w:val="551" w:hRule="atLeast"/>
        </w:trPr>
        <w:tc>
          <w:tcPr>
            <w:tcW w:w="10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38" w:right="225"/>
              <w:jc w:val="center"/>
              <w:rPr>
                <w:b/>
                <w:sz w:val="24"/>
              </w:rPr>
            </w:pPr>
            <w:r>
              <w:rPr>
                <w:b/>
                <w:sz w:val="24"/>
              </w:rPr>
              <w:t>RESPONDENT’S RESPONSE TO PLAINTIFF’S MOTION TO CONTINUE PERMANENT</w:t>
            </w:r>
          </w:p>
          <w:p>
            <w:pPr>
              <w:pStyle w:val="TableParagraph"/>
              <w:spacing w:line="269" w:lineRule="exact"/>
              <w:ind w:left="238" w:right="225"/>
              <w:jc w:val="center"/>
              <w:rPr>
                <w:b/>
                <w:sz w:val="24"/>
              </w:rPr>
            </w:pPr>
            <w:r>
              <w:rPr>
                <w:b/>
                <w:sz w:val="24"/>
              </w:rPr>
              <w:t>PROTECTION ORDER HEARING SET FOR AUGUST 13, 2015</w:t>
            </w:r>
          </w:p>
        </w:tc>
      </w:tr>
    </w:tbl>
    <w:p>
      <w:pPr>
        <w:pStyle w:val="BodyText"/>
        <w:spacing w:before="2"/>
        <w:rPr>
          <w:rFonts w:ascii="Times New Roman"/>
          <w:sz w:val="15"/>
        </w:rPr>
      </w:pPr>
      <w:r>
        <w:rPr/>
        <w:pict>
          <v:line style="position:absolute;mso-position-horizontal-relative:page;mso-position-vertical-relative:page;z-index:-7240" from="77.2743pt,130.674301pt" to="392.3943pt,130.674301pt" stroked="true" strokeweight=".72pt" strokecolor="#000000">
            <v:stroke dashstyle="solid"/>
            <w10:wrap type="none"/>
          </v:line>
        </w:pict>
      </w:r>
      <w:r>
        <w:rPr/>
        <w:pict>
          <v:group style="position:absolute;margin-left:412.914307pt;margin-top:126.234222pt;width:11.3pt;height:11.9pt;mso-position-horizontal-relative:page;mso-position-vertical-relative:page;z-index:-7216" coordorigin="8258,2525" coordsize="226,238">
            <v:line style="position:absolute" from="8369,2532" to="8369,2532" stroked="true" strokeweight=".72pt" strokecolor="#000000">
              <v:stroke dashstyle="solid"/>
            </v:line>
            <v:shape style="position:absolute;left:8258;top:2531;width:226;height:231" coordorigin="8258,2532" coordsize="226,231" path="m8369,2532l8258,2762,8484,2762,8369,2532xe" filled="true" fillcolor="#000000" stroked="false">
              <v:path arrowok="t"/>
              <v:fill type="solid"/>
            </v:shape>
            <w10:wrap type="none"/>
          </v:group>
        </w:pict>
      </w:r>
      <w:r>
        <w:rPr/>
        <w:pict>
          <v:group style="position:absolute;margin-left:549.714294pt;margin-top:126.234222pt;width:11.3pt;height:11.9pt;mso-position-horizontal-relative:page;mso-position-vertical-relative:page;z-index:-7192" coordorigin="10994,2525" coordsize="226,238">
            <v:line style="position:absolute" from="11105,2532" to="11105,2532" stroked="true" strokeweight=".72pt" strokecolor="#000000">
              <v:stroke dashstyle="solid"/>
            </v:line>
            <v:shape style="position:absolute;left:10994;top:2531;width:226;height:231" coordorigin="10994,2532" coordsize="226,231" path="m11105,2532l10994,2762,11220,2762,11105,2532xe" filled="true" fillcolor="#000000" stroked="false">
              <v:path arrowok="t"/>
              <v:fill type="solid"/>
            </v:shape>
            <w10:wrap type="none"/>
          </v:group>
        </w:pict>
      </w:r>
    </w:p>
    <w:p>
      <w:pPr>
        <w:pStyle w:val="BodyText"/>
        <w:spacing w:before="92"/>
        <w:ind w:left="104" w:right="112" w:firstLine="720"/>
        <w:jc w:val="both"/>
      </w:pPr>
      <w:r>
        <w:rPr/>
        <w:t>SHAWN BEESON, through his attorney, Michael Boyce, of the Law Office of Michael Boyce, P.C., hereby requests this Court deny Plaintiff’s Motion to Continue Permanent Protection Order Hearing Set for August 13, 2015 and states the following:</w:t>
      </w:r>
    </w:p>
    <w:p>
      <w:pPr>
        <w:pStyle w:val="BodyText"/>
        <w:spacing w:before="7"/>
        <w:rPr>
          <w:sz w:val="23"/>
        </w:rPr>
      </w:pPr>
    </w:p>
    <w:p>
      <w:pPr>
        <w:pStyle w:val="Heading1"/>
        <w:ind w:right="4214"/>
        <w:jc w:val="center"/>
        <w:rPr>
          <w:u w:val="none"/>
        </w:rPr>
      </w:pPr>
      <w:r>
        <w:rPr>
          <w:u w:val="single"/>
        </w:rPr>
        <w:t>INTRODUCTION</w:t>
      </w:r>
    </w:p>
    <w:p>
      <w:pPr>
        <w:pStyle w:val="BodyText"/>
        <w:spacing w:before="11"/>
        <w:rPr>
          <w:b/>
          <w:sz w:val="15"/>
        </w:rPr>
      </w:pPr>
    </w:p>
    <w:p>
      <w:pPr>
        <w:pStyle w:val="ListParagraph"/>
        <w:numPr>
          <w:ilvl w:val="0"/>
          <w:numId w:val="1"/>
        </w:numPr>
        <w:tabs>
          <w:tab w:pos="825" w:val="left" w:leader="none"/>
        </w:tabs>
        <w:spacing w:line="240" w:lineRule="auto" w:before="92" w:after="0"/>
        <w:ind w:left="824" w:right="160" w:hanging="360"/>
        <w:jc w:val="left"/>
        <w:rPr>
          <w:sz w:val="24"/>
        </w:rPr>
      </w:pPr>
      <w:r>
        <w:rPr>
          <w:sz w:val="24"/>
        </w:rPr>
        <w:t>On May 13, 2015, Respondent Shawn Beeson was assaulted by Plaintiff Robert Abrams. Mr. Beeson called the police on May 13, 2015 after Mr. Abrams fled the </w:t>
      </w:r>
      <w:r>
        <w:rPr>
          <w:spacing w:val="-3"/>
          <w:sz w:val="24"/>
        </w:rPr>
        <w:t>scene </w:t>
      </w:r>
      <w:r>
        <w:rPr>
          <w:sz w:val="24"/>
        </w:rPr>
        <w:t>of the assault. Mr. Abrams was charged with assault in Denver Municipal</w:t>
      </w:r>
      <w:r>
        <w:rPr>
          <w:spacing w:val="-6"/>
          <w:sz w:val="24"/>
        </w:rPr>
        <w:t> </w:t>
      </w:r>
      <w:r>
        <w:rPr>
          <w:sz w:val="24"/>
        </w:rPr>
        <w:t>Court.</w:t>
      </w:r>
    </w:p>
    <w:p>
      <w:pPr>
        <w:pStyle w:val="BodyText"/>
      </w:pPr>
    </w:p>
    <w:p>
      <w:pPr>
        <w:pStyle w:val="ListParagraph"/>
        <w:numPr>
          <w:ilvl w:val="0"/>
          <w:numId w:val="1"/>
        </w:numPr>
        <w:tabs>
          <w:tab w:pos="825" w:val="left" w:leader="none"/>
        </w:tabs>
        <w:spacing w:line="240" w:lineRule="auto" w:before="0" w:after="0"/>
        <w:ind w:left="824" w:right="308" w:hanging="360"/>
        <w:jc w:val="left"/>
        <w:rPr>
          <w:sz w:val="24"/>
        </w:rPr>
      </w:pPr>
      <w:r>
        <w:rPr>
          <w:sz w:val="24"/>
        </w:rPr>
        <w:t>In response to the charge of assault against Mr. Beeson, Mr. Abrams filed a Verified Complaint and Motion for Civil Protection Order. The Court issued a Temporary Protection Order and set the matter for a Permanent Protection Order hearing on June 1, 2015. The matter was reset for a Permanent Protection Order hearing on July 16, 2015.</w:t>
      </w:r>
    </w:p>
    <w:p>
      <w:pPr>
        <w:pStyle w:val="BodyText"/>
      </w:pPr>
    </w:p>
    <w:p>
      <w:pPr>
        <w:pStyle w:val="ListParagraph"/>
        <w:numPr>
          <w:ilvl w:val="0"/>
          <w:numId w:val="1"/>
        </w:numPr>
        <w:tabs>
          <w:tab w:pos="825" w:val="left" w:leader="none"/>
        </w:tabs>
        <w:spacing w:line="240" w:lineRule="auto" w:before="1" w:after="0"/>
        <w:ind w:left="824" w:right="133" w:hanging="360"/>
        <w:jc w:val="left"/>
        <w:rPr>
          <w:sz w:val="24"/>
        </w:rPr>
      </w:pPr>
      <w:r>
        <w:rPr>
          <w:sz w:val="24"/>
        </w:rPr>
        <w:t>In the Verified Complaint and Motion for Civil Protection Order, the Plaintiff alleges instances on two specific dates resulting in his request for a Permanent Protection Order. The first instance alleges that between approximately April 1 and April 15, 2015, the Respondent called him a “piece of shit.” The second instance is from May 13, </w:t>
      </w:r>
      <w:r>
        <w:rPr>
          <w:spacing w:val="-3"/>
          <w:sz w:val="24"/>
        </w:rPr>
        <w:t>2015, </w:t>
      </w:r>
      <w:r>
        <w:rPr>
          <w:sz w:val="24"/>
        </w:rPr>
        <w:t>when the Plaintiff was charged with assaulting the</w:t>
      </w:r>
      <w:r>
        <w:rPr>
          <w:spacing w:val="-1"/>
          <w:sz w:val="24"/>
        </w:rPr>
        <w:t> </w:t>
      </w:r>
      <w:r>
        <w:rPr>
          <w:sz w:val="24"/>
        </w:rPr>
        <w:t>Respondent.</w:t>
      </w:r>
    </w:p>
    <w:p>
      <w:pPr>
        <w:pStyle w:val="BodyText"/>
        <w:spacing w:before="11"/>
        <w:rPr>
          <w:sz w:val="23"/>
        </w:rPr>
      </w:pPr>
    </w:p>
    <w:p>
      <w:pPr>
        <w:pStyle w:val="ListParagraph"/>
        <w:numPr>
          <w:ilvl w:val="0"/>
          <w:numId w:val="1"/>
        </w:numPr>
        <w:tabs>
          <w:tab w:pos="825" w:val="left" w:leader="none"/>
        </w:tabs>
        <w:spacing w:line="240" w:lineRule="auto" w:before="0" w:after="0"/>
        <w:ind w:left="824" w:right="0" w:hanging="360"/>
        <w:jc w:val="left"/>
        <w:rPr>
          <w:sz w:val="24"/>
        </w:rPr>
      </w:pPr>
      <w:r>
        <w:rPr>
          <w:sz w:val="24"/>
        </w:rPr>
        <w:t>On July 16, 2015, the permanent protection order hearing</w:t>
      </w:r>
      <w:r>
        <w:rPr>
          <w:spacing w:val="-6"/>
          <w:sz w:val="24"/>
        </w:rPr>
        <w:t> </w:t>
      </w:r>
      <w:r>
        <w:rPr>
          <w:sz w:val="24"/>
        </w:rPr>
        <w:t>commenced.</w:t>
      </w:r>
    </w:p>
    <w:p>
      <w:pPr>
        <w:pStyle w:val="BodyText"/>
      </w:pPr>
    </w:p>
    <w:p>
      <w:pPr>
        <w:pStyle w:val="ListParagraph"/>
        <w:numPr>
          <w:ilvl w:val="0"/>
          <w:numId w:val="1"/>
        </w:numPr>
        <w:tabs>
          <w:tab w:pos="825" w:val="left" w:leader="none"/>
        </w:tabs>
        <w:spacing w:line="242" w:lineRule="auto" w:before="0" w:after="0"/>
        <w:ind w:left="824" w:right="173" w:hanging="360"/>
        <w:jc w:val="left"/>
        <w:rPr>
          <w:sz w:val="24"/>
        </w:rPr>
      </w:pPr>
      <w:r>
        <w:rPr>
          <w:sz w:val="24"/>
        </w:rPr>
        <w:t>The hearing on the motion to make the temporary protection order permanent began </w:t>
      </w:r>
      <w:r>
        <w:rPr>
          <w:spacing w:val="-7"/>
          <w:sz w:val="24"/>
        </w:rPr>
        <w:t>on </w:t>
      </w:r>
      <w:r>
        <w:rPr>
          <w:sz w:val="24"/>
        </w:rPr>
        <w:t>July 16, 2015. During the hearing, the Court advised the Plaintiff of his 5</w:t>
      </w:r>
      <w:r>
        <w:rPr>
          <w:sz w:val="24"/>
          <w:vertAlign w:val="superscript"/>
        </w:rPr>
        <w:t>th</w:t>
      </w:r>
      <w:r>
        <w:rPr>
          <w:spacing w:val="-19"/>
          <w:sz w:val="24"/>
          <w:vertAlign w:val="baseline"/>
        </w:rPr>
        <w:t> </w:t>
      </w:r>
      <w:r>
        <w:rPr>
          <w:sz w:val="24"/>
          <w:vertAlign w:val="baseline"/>
        </w:rPr>
        <w:t>amendment</w:t>
      </w:r>
    </w:p>
    <w:p>
      <w:pPr>
        <w:spacing w:after="0" w:line="242" w:lineRule="auto"/>
        <w:jc w:val="left"/>
        <w:rPr>
          <w:sz w:val="24"/>
        </w:rPr>
        <w:sectPr>
          <w:type w:val="continuous"/>
          <w:pgSz w:w="12240" w:h="15840"/>
          <w:pgMar w:top="1020" w:bottom="280" w:left="1340" w:right="600"/>
        </w:sectPr>
      </w:pPr>
    </w:p>
    <w:p>
      <w:pPr>
        <w:pStyle w:val="BodyText"/>
        <w:spacing w:line="237" w:lineRule="auto" w:before="70"/>
        <w:ind w:left="824"/>
      </w:pPr>
      <w:r>
        <w:rPr/>
        <w:t>right against self-incrimination. At that time, the Plaintiff emphatically waived his rights pursuant to the 5</w:t>
      </w:r>
      <w:r>
        <w:rPr>
          <w:vertAlign w:val="superscript"/>
        </w:rPr>
        <w:t>th</w:t>
      </w:r>
      <w:r>
        <w:rPr>
          <w:vertAlign w:val="baseline"/>
        </w:rPr>
        <w:t> amendment and stated he would testify at the</w:t>
      </w:r>
      <w:r>
        <w:rPr>
          <w:spacing w:val="-6"/>
          <w:vertAlign w:val="baseline"/>
        </w:rPr>
        <w:t> </w:t>
      </w:r>
      <w:r>
        <w:rPr>
          <w:vertAlign w:val="baseline"/>
        </w:rPr>
        <w:t>hearing.</w:t>
      </w:r>
    </w:p>
    <w:p>
      <w:pPr>
        <w:pStyle w:val="BodyText"/>
        <w:rPr>
          <w:sz w:val="30"/>
        </w:rPr>
      </w:pPr>
    </w:p>
    <w:p>
      <w:pPr>
        <w:pStyle w:val="Heading1"/>
        <w:spacing w:line="237" w:lineRule="auto" w:before="213"/>
        <w:ind w:left="1717" w:hanging="1460"/>
        <w:rPr>
          <w:u w:val="none"/>
        </w:rPr>
      </w:pPr>
      <w:r>
        <w:rPr>
          <w:u w:val="single"/>
        </w:rPr>
        <w:t>PROTECTION ORDER PROCEDURE REGARDING CONTINUANCES IS GOVERNED </w:t>
      </w:r>
      <w:r>
        <w:rPr>
          <w:spacing w:val="-12"/>
          <w:u w:val="single"/>
        </w:rPr>
        <w:t>BY</w:t>
      </w:r>
      <w:r>
        <w:rPr>
          <w:spacing w:val="-12"/>
          <w:u w:val="none"/>
        </w:rPr>
        <w:t> </w:t>
      </w:r>
      <w:r>
        <w:rPr>
          <w:u w:val="single"/>
        </w:rPr>
        <w:t>C.R.S. 13-14-106(B) AND C.R.C.P. RULE 6 IS</w:t>
      </w:r>
      <w:r>
        <w:rPr>
          <w:spacing w:val="-4"/>
          <w:u w:val="single"/>
        </w:rPr>
        <w:t> </w:t>
      </w:r>
      <w:r>
        <w:rPr>
          <w:u w:val="single"/>
        </w:rPr>
        <w:t>INAPPLICABLE</w:t>
      </w:r>
    </w:p>
    <w:p>
      <w:pPr>
        <w:pStyle w:val="BodyText"/>
        <w:rPr>
          <w:b/>
          <w:sz w:val="20"/>
        </w:rPr>
      </w:pPr>
    </w:p>
    <w:p>
      <w:pPr>
        <w:pStyle w:val="BodyText"/>
        <w:spacing w:before="3"/>
        <w:rPr>
          <w:b/>
          <w:sz w:val="20"/>
        </w:rPr>
      </w:pPr>
    </w:p>
    <w:p>
      <w:pPr>
        <w:pStyle w:val="ListParagraph"/>
        <w:numPr>
          <w:ilvl w:val="0"/>
          <w:numId w:val="1"/>
        </w:numPr>
        <w:tabs>
          <w:tab w:pos="825" w:val="left" w:leader="none"/>
        </w:tabs>
        <w:spacing w:line="275" w:lineRule="exact" w:before="92" w:after="0"/>
        <w:ind w:left="824" w:right="0" w:hanging="360"/>
        <w:jc w:val="left"/>
        <w:rPr>
          <w:sz w:val="24"/>
        </w:rPr>
      </w:pPr>
      <w:r>
        <w:rPr>
          <w:sz w:val="24"/>
        </w:rPr>
        <w:t>The simplified civil process for obtaining a permanent protection order are stated</w:t>
      </w:r>
      <w:r>
        <w:rPr>
          <w:spacing w:val="-5"/>
          <w:sz w:val="24"/>
        </w:rPr>
        <w:t> </w:t>
      </w:r>
      <w:r>
        <w:rPr>
          <w:sz w:val="24"/>
        </w:rPr>
        <w:t>in</w:t>
      </w:r>
    </w:p>
    <w:p>
      <w:pPr>
        <w:pStyle w:val="BodyText"/>
        <w:spacing w:line="275" w:lineRule="exact"/>
        <w:ind w:left="824"/>
      </w:pPr>
      <w:r>
        <w:rPr/>
        <w:t>C.R.S. section 13-14-106:</w:t>
      </w:r>
    </w:p>
    <w:p>
      <w:pPr>
        <w:pStyle w:val="BodyText"/>
      </w:pPr>
    </w:p>
    <w:p>
      <w:pPr>
        <w:pStyle w:val="BodyText"/>
        <w:ind w:left="1244" w:right="1619"/>
      </w:pPr>
      <w:r>
        <w:rPr>
          <w:color w:val="1C1C1C"/>
        </w:rPr>
        <w:t>(b) Notwithstanding the provisions of paragraph (a) of this subsection (1), the judge or magistrate, after examining the record and the evidence, for good cause shown, may continue the temporary protection order and the show cause hearing to a date certain not to exceed one year after the date of the hearing if he or she determines such continuance would be in the best interests of the parties and if both parties are present at the hearing and agree to the continuance. In addition, each party may request one continuance for a period not to exceed fourteen days, which the judge or magistrate, after examining the record and the evidence, may grant upon a finding of good cause. The judge or magistrate shall inform the respondent that a violation of the temporary civil protection order constitutes a criminal offense pursuant to </w:t>
      </w:r>
      <w:r>
        <w:rPr/>
        <w:t>section 18-6-803.5, C.R.S., </w:t>
      </w:r>
      <w:r>
        <w:rPr>
          <w:color w:val="1C1C1C"/>
        </w:rPr>
        <w:t>or constitutes contempt of court and subjects the respondent to such punishment as may be provided by law.</w:t>
      </w:r>
    </w:p>
    <w:p>
      <w:pPr>
        <w:pStyle w:val="BodyText"/>
        <w:rPr>
          <w:sz w:val="26"/>
        </w:rPr>
      </w:pPr>
    </w:p>
    <w:p>
      <w:pPr>
        <w:pStyle w:val="BodyText"/>
        <w:rPr>
          <w:sz w:val="26"/>
        </w:rPr>
      </w:pPr>
    </w:p>
    <w:p>
      <w:pPr>
        <w:pStyle w:val="ListParagraph"/>
        <w:numPr>
          <w:ilvl w:val="0"/>
          <w:numId w:val="1"/>
        </w:numPr>
        <w:tabs>
          <w:tab w:pos="891" w:val="left" w:leader="none"/>
          <w:tab w:pos="892" w:val="left" w:leader="none"/>
        </w:tabs>
        <w:spacing w:line="240" w:lineRule="auto" w:before="231" w:after="0"/>
        <w:ind w:left="891" w:right="0" w:hanging="427"/>
        <w:jc w:val="left"/>
        <w:rPr>
          <w:sz w:val="24"/>
        </w:rPr>
      </w:pPr>
      <w:r>
        <w:rPr>
          <w:sz w:val="24"/>
        </w:rPr>
        <w:t>Furthermore, C.R.C.P. Rule 81(a) regarding special statutory proceedings</w:t>
      </w:r>
      <w:r>
        <w:rPr>
          <w:spacing w:val="-5"/>
          <w:sz w:val="24"/>
        </w:rPr>
        <w:t> </w:t>
      </w:r>
      <w:r>
        <w:rPr>
          <w:sz w:val="24"/>
        </w:rPr>
        <w:t>states:</w:t>
      </w:r>
    </w:p>
    <w:p>
      <w:pPr>
        <w:pStyle w:val="BodyText"/>
      </w:pPr>
    </w:p>
    <w:p>
      <w:pPr>
        <w:pStyle w:val="ListParagraph"/>
        <w:numPr>
          <w:ilvl w:val="1"/>
          <w:numId w:val="1"/>
        </w:numPr>
        <w:tabs>
          <w:tab w:pos="1545" w:val="left" w:leader="none"/>
        </w:tabs>
        <w:spacing w:line="240" w:lineRule="auto" w:before="0" w:after="0"/>
        <w:ind w:left="1544" w:right="214" w:hanging="360"/>
        <w:jc w:val="left"/>
        <w:rPr>
          <w:sz w:val="24"/>
        </w:rPr>
      </w:pPr>
      <w:r>
        <w:rPr>
          <w:sz w:val="24"/>
        </w:rPr>
        <w:t>[The Colorado Rules of Civil Procedure] do not govern procedure and practice </w:t>
      </w:r>
      <w:r>
        <w:rPr>
          <w:spacing w:val="-6"/>
          <w:sz w:val="24"/>
        </w:rPr>
        <w:t>in </w:t>
      </w:r>
      <w:r>
        <w:rPr>
          <w:sz w:val="24"/>
        </w:rPr>
        <w:t>any special statutory proceeding insofar as they are inconsistent or in conflict with the procedure and practice provided by the applicable</w:t>
      </w:r>
      <w:r>
        <w:rPr>
          <w:spacing w:val="-1"/>
          <w:sz w:val="24"/>
        </w:rPr>
        <w:t> </w:t>
      </w:r>
      <w:r>
        <w:rPr>
          <w:sz w:val="24"/>
        </w:rPr>
        <w:t>statute.</w:t>
      </w:r>
    </w:p>
    <w:p>
      <w:pPr>
        <w:pStyle w:val="BodyText"/>
      </w:pPr>
    </w:p>
    <w:p>
      <w:pPr>
        <w:pStyle w:val="ListParagraph"/>
        <w:numPr>
          <w:ilvl w:val="0"/>
          <w:numId w:val="1"/>
        </w:numPr>
        <w:tabs>
          <w:tab w:pos="825" w:val="left" w:leader="none"/>
        </w:tabs>
        <w:spacing w:line="240" w:lineRule="auto" w:before="0" w:after="0"/>
        <w:ind w:left="824" w:right="573" w:hanging="360"/>
        <w:jc w:val="left"/>
        <w:rPr>
          <w:sz w:val="24"/>
        </w:rPr>
      </w:pPr>
      <w:r>
        <w:rPr>
          <w:sz w:val="24"/>
        </w:rPr>
        <w:t>Permanent protection order proceedings are special statutory proceedings and the Colorado Rules of Civil Procedure are inapplicable. The simplified civil process for obtaining a protection order addresses when a continuance of permanent </w:t>
      </w:r>
      <w:r>
        <w:rPr>
          <w:spacing w:val="-3"/>
          <w:sz w:val="24"/>
        </w:rPr>
        <w:t>protection </w:t>
      </w:r>
      <w:r>
        <w:rPr>
          <w:sz w:val="24"/>
        </w:rPr>
        <w:t>order is permitted (for good cause) and the length of the continuance (no more than fourteen (14)</w:t>
      </w:r>
      <w:r>
        <w:rPr>
          <w:spacing w:val="-2"/>
          <w:sz w:val="24"/>
        </w:rPr>
        <w:t> </w:t>
      </w:r>
      <w:r>
        <w:rPr>
          <w:sz w:val="24"/>
        </w:rPr>
        <w:t>days).</w:t>
      </w:r>
    </w:p>
    <w:p>
      <w:pPr>
        <w:pStyle w:val="BodyText"/>
      </w:pPr>
    </w:p>
    <w:p>
      <w:pPr>
        <w:pStyle w:val="ListParagraph"/>
        <w:numPr>
          <w:ilvl w:val="0"/>
          <w:numId w:val="1"/>
        </w:numPr>
        <w:tabs>
          <w:tab w:pos="825" w:val="left" w:leader="none"/>
        </w:tabs>
        <w:spacing w:line="240" w:lineRule="auto" w:before="0" w:after="0"/>
        <w:ind w:left="824" w:right="294" w:hanging="360"/>
        <w:jc w:val="left"/>
        <w:rPr>
          <w:sz w:val="24"/>
        </w:rPr>
      </w:pPr>
      <w:r>
        <w:rPr>
          <w:sz w:val="24"/>
        </w:rPr>
        <w:t>Therefore, Plaintiff’s reliance on C.R.C.P. 6(b) in his request for a continuance is not applicable here. Furthermore, on July 16, 2015, Respondent made a similar argument for a request for a continuance of the hearing due to the unavailability of two material witnesses and was denied due to the same provisions in C.R.S. section 13-14-106(b). At that time, the Plaintiff cited the same</w:t>
      </w:r>
      <w:r>
        <w:rPr>
          <w:spacing w:val="-5"/>
          <w:sz w:val="24"/>
        </w:rPr>
        <w:t> </w:t>
      </w:r>
      <w:r>
        <w:rPr>
          <w:sz w:val="24"/>
        </w:rPr>
        <w:t>section.</w:t>
      </w:r>
    </w:p>
    <w:p>
      <w:pPr>
        <w:pStyle w:val="BodyText"/>
      </w:pPr>
    </w:p>
    <w:p>
      <w:pPr>
        <w:pStyle w:val="ListParagraph"/>
        <w:numPr>
          <w:ilvl w:val="0"/>
          <w:numId w:val="1"/>
        </w:numPr>
        <w:tabs>
          <w:tab w:pos="825" w:val="left" w:leader="none"/>
        </w:tabs>
        <w:spacing w:line="240" w:lineRule="auto" w:before="0" w:after="0"/>
        <w:ind w:left="824" w:right="268" w:hanging="360"/>
        <w:jc w:val="both"/>
        <w:rPr>
          <w:sz w:val="24"/>
        </w:rPr>
      </w:pPr>
      <w:r>
        <w:rPr>
          <w:sz w:val="24"/>
        </w:rPr>
        <w:t>It is Defendant’s position that C.R.S. section 13-14-106(b) contemplates a continuance of the hearing </w:t>
      </w:r>
      <w:r>
        <w:rPr>
          <w:i/>
          <w:sz w:val="24"/>
        </w:rPr>
        <w:t>prior </w:t>
      </w:r>
      <w:r>
        <w:rPr>
          <w:sz w:val="24"/>
        </w:rPr>
        <w:t>to the commencement of the hearing itself. It is implicit in section b that either side can request a continuance of the hearing itself, for good cause</w:t>
      </w:r>
      <w:r>
        <w:rPr>
          <w:spacing w:val="-6"/>
          <w:sz w:val="24"/>
        </w:rPr>
        <w:t> </w:t>
      </w:r>
      <w:r>
        <w:rPr>
          <w:sz w:val="24"/>
        </w:rPr>
        <w:t>shown,</w:t>
      </w:r>
    </w:p>
    <w:p>
      <w:pPr>
        <w:spacing w:after="0" w:line="240" w:lineRule="auto"/>
        <w:jc w:val="both"/>
        <w:rPr>
          <w:sz w:val="24"/>
        </w:rPr>
        <w:sectPr>
          <w:pgSz w:w="12240" w:h="15840"/>
          <w:pgMar w:top="940" w:bottom="280" w:left="1340" w:right="600"/>
        </w:sectPr>
      </w:pPr>
    </w:p>
    <w:p>
      <w:pPr>
        <w:pStyle w:val="BodyText"/>
        <w:spacing w:before="68"/>
        <w:ind w:left="824" w:right="306"/>
      </w:pPr>
      <w:r>
        <w:rPr/>
        <w:t>with or without agreement of the parties, prior to the show cause hearing. The hearing in this case has already begun and the Plaintiff can no longer avail himself of this request.</w:t>
      </w:r>
    </w:p>
    <w:p>
      <w:pPr>
        <w:pStyle w:val="BodyText"/>
      </w:pPr>
    </w:p>
    <w:p>
      <w:pPr>
        <w:pStyle w:val="ListParagraph"/>
        <w:numPr>
          <w:ilvl w:val="0"/>
          <w:numId w:val="1"/>
        </w:numPr>
        <w:tabs>
          <w:tab w:pos="825" w:val="left" w:leader="none"/>
        </w:tabs>
        <w:spacing w:line="240" w:lineRule="auto" w:before="0" w:after="0"/>
        <w:ind w:left="824" w:right="440" w:hanging="360"/>
        <w:jc w:val="left"/>
        <w:rPr>
          <w:sz w:val="24"/>
        </w:rPr>
      </w:pPr>
      <w:r>
        <w:rPr>
          <w:sz w:val="24"/>
        </w:rPr>
        <w:t>Even if the Court found that the Plaintiff could request a continuance of the hearing, it could only be for a maximum of 14 days. The Plaintiff’s request for a continuance is outside of the 14 days permitted by the statute and should be</w:t>
      </w:r>
      <w:r>
        <w:rPr>
          <w:spacing w:val="-2"/>
          <w:sz w:val="24"/>
        </w:rPr>
        <w:t> </w:t>
      </w:r>
      <w:r>
        <w:rPr>
          <w:sz w:val="24"/>
        </w:rPr>
        <w:t>denied.</w:t>
      </w:r>
    </w:p>
    <w:p>
      <w:pPr>
        <w:pStyle w:val="BodyText"/>
        <w:spacing w:before="6"/>
      </w:pPr>
    </w:p>
    <w:p>
      <w:pPr>
        <w:spacing w:before="0"/>
        <w:ind w:left="4499" w:right="306" w:hanging="4186"/>
        <w:jc w:val="left"/>
        <w:rPr>
          <w:b/>
          <w:sz w:val="28"/>
        </w:rPr>
      </w:pPr>
      <w:r>
        <w:rPr>
          <w:b/>
          <w:sz w:val="28"/>
          <w:u w:val="single"/>
        </w:rPr>
        <w:t>PLAINTIFF’S HAS NOT SHOWN GOOD CAUSE FOR A REQUEST OF THE</w:t>
      </w:r>
      <w:r>
        <w:rPr>
          <w:b/>
          <w:sz w:val="28"/>
        </w:rPr>
        <w:t> </w:t>
      </w:r>
      <w:r>
        <w:rPr>
          <w:b/>
          <w:sz w:val="28"/>
          <w:u w:val="single"/>
        </w:rPr>
        <w:t>HEARING</w:t>
      </w:r>
    </w:p>
    <w:p>
      <w:pPr>
        <w:pStyle w:val="BodyText"/>
        <w:spacing w:before="7"/>
        <w:rPr>
          <w:b/>
          <w:sz w:val="15"/>
        </w:rPr>
      </w:pPr>
    </w:p>
    <w:p>
      <w:pPr>
        <w:pStyle w:val="ListParagraph"/>
        <w:numPr>
          <w:ilvl w:val="0"/>
          <w:numId w:val="1"/>
        </w:numPr>
        <w:tabs>
          <w:tab w:pos="892" w:val="left" w:leader="none"/>
        </w:tabs>
        <w:spacing w:line="237" w:lineRule="auto" w:before="95" w:after="0"/>
        <w:ind w:left="824" w:right="975" w:hanging="360"/>
        <w:jc w:val="left"/>
        <w:rPr>
          <w:sz w:val="24"/>
        </w:rPr>
      </w:pPr>
      <w:r>
        <w:rPr>
          <w:sz w:val="24"/>
        </w:rPr>
        <w:t>Plaintiff is charged with assaulting the Defendant in this case. Plaintiff’s </w:t>
      </w:r>
      <w:r>
        <w:rPr>
          <w:spacing w:val="-3"/>
          <w:sz w:val="24"/>
        </w:rPr>
        <w:t>actions </w:t>
      </w:r>
      <w:r>
        <w:rPr>
          <w:sz w:val="24"/>
        </w:rPr>
        <w:t>resulted in the filing of criminal charges against</w:t>
      </w:r>
      <w:r>
        <w:rPr>
          <w:spacing w:val="-2"/>
          <w:sz w:val="24"/>
        </w:rPr>
        <w:t> </w:t>
      </w:r>
      <w:r>
        <w:rPr>
          <w:sz w:val="24"/>
        </w:rPr>
        <w:t>him.</w:t>
      </w:r>
    </w:p>
    <w:p>
      <w:pPr>
        <w:pStyle w:val="BodyText"/>
      </w:pPr>
    </w:p>
    <w:p>
      <w:pPr>
        <w:pStyle w:val="ListParagraph"/>
        <w:numPr>
          <w:ilvl w:val="0"/>
          <w:numId w:val="1"/>
        </w:numPr>
        <w:tabs>
          <w:tab w:pos="825" w:val="left" w:leader="none"/>
        </w:tabs>
        <w:spacing w:line="242" w:lineRule="auto" w:before="1" w:after="0"/>
        <w:ind w:left="824" w:right="787" w:hanging="360"/>
        <w:jc w:val="left"/>
        <w:rPr>
          <w:sz w:val="24"/>
        </w:rPr>
      </w:pPr>
      <w:r>
        <w:rPr>
          <w:sz w:val="24"/>
        </w:rPr>
        <w:t>In retaliation, Plaintiff seeks a permanent protection order against Mr. Beeson, the victim in the criminal</w:t>
      </w:r>
      <w:r>
        <w:rPr>
          <w:spacing w:val="-1"/>
          <w:sz w:val="24"/>
        </w:rPr>
        <w:t> </w:t>
      </w:r>
      <w:r>
        <w:rPr>
          <w:sz w:val="24"/>
        </w:rPr>
        <w:t>action.</w:t>
      </w:r>
    </w:p>
    <w:p>
      <w:pPr>
        <w:pStyle w:val="BodyText"/>
        <w:spacing w:before="8"/>
        <w:rPr>
          <w:sz w:val="23"/>
        </w:rPr>
      </w:pPr>
    </w:p>
    <w:p>
      <w:pPr>
        <w:pStyle w:val="ListParagraph"/>
        <w:numPr>
          <w:ilvl w:val="0"/>
          <w:numId w:val="1"/>
        </w:numPr>
        <w:tabs>
          <w:tab w:pos="825" w:val="left" w:leader="none"/>
        </w:tabs>
        <w:spacing w:line="240" w:lineRule="auto" w:before="0" w:after="0"/>
        <w:ind w:left="824" w:right="334" w:hanging="360"/>
        <w:jc w:val="left"/>
        <w:rPr>
          <w:sz w:val="24"/>
        </w:rPr>
      </w:pPr>
      <w:r>
        <w:rPr>
          <w:sz w:val="24"/>
        </w:rPr>
        <w:t>Plaintiff now claims that because he has to choose between testifying in the </w:t>
      </w:r>
      <w:r>
        <w:rPr>
          <w:spacing w:val="-3"/>
          <w:sz w:val="24"/>
        </w:rPr>
        <w:t>protection </w:t>
      </w:r>
      <w:r>
        <w:rPr>
          <w:sz w:val="24"/>
        </w:rPr>
        <w:t>order hearing, which he filed, or remaining silent until after his criminal case has resolved, that he has established good cause for a</w:t>
      </w:r>
      <w:r>
        <w:rPr>
          <w:spacing w:val="-4"/>
          <w:sz w:val="24"/>
        </w:rPr>
        <w:t> </w:t>
      </w:r>
      <w:r>
        <w:rPr>
          <w:sz w:val="24"/>
        </w:rPr>
        <w:t>continuance.</w:t>
      </w:r>
    </w:p>
    <w:p>
      <w:pPr>
        <w:pStyle w:val="BodyText"/>
      </w:pPr>
    </w:p>
    <w:p>
      <w:pPr>
        <w:pStyle w:val="ListParagraph"/>
        <w:numPr>
          <w:ilvl w:val="0"/>
          <w:numId w:val="1"/>
        </w:numPr>
        <w:tabs>
          <w:tab w:pos="825" w:val="left" w:leader="none"/>
        </w:tabs>
        <w:spacing w:line="240" w:lineRule="auto" w:before="0" w:after="0"/>
        <w:ind w:left="824" w:right="174" w:hanging="360"/>
        <w:jc w:val="left"/>
        <w:rPr>
          <w:sz w:val="24"/>
        </w:rPr>
      </w:pPr>
      <w:r>
        <w:rPr>
          <w:sz w:val="24"/>
        </w:rPr>
        <w:t>It was the Plaintiff’s choice to file a motion for a permanent protection order against Mr. Beeson. The Plaintiff is an attorney representing himself and is familiar with both civil and criminal procedure. The decision as to whether to take the stand in the civil matter and waive his 5</w:t>
      </w:r>
      <w:r>
        <w:rPr>
          <w:sz w:val="24"/>
          <w:vertAlign w:val="superscript"/>
        </w:rPr>
        <w:t>th</w:t>
      </w:r>
      <w:r>
        <w:rPr>
          <w:sz w:val="24"/>
          <w:vertAlign w:val="baseline"/>
        </w:rPr>
        <w:t> amendment right or not is one the Plaintiff has constructed for</w:t>
      </w:r>
      <w:r>
        <w:rPr>
          <w:spacing w:val="-14"/>
          <w:sz w:val="24"/>
          <w:vertAlign w:val="baseline"/>
        </w:rPr>
        <w:t> </w:t>
      </w:r>
      <w:r>
        <w:rPr>
          <w:sz w:val="24"/>
          <w:vertAlign w:val="baseline"/>
        </w:rPr>
        <w:t>himself.</w:t>
      </w:r>
    </w:p>
    <w:p>
      <w:pPr>
        <w:pStyle w:val="BodyText"/>
        <w:spacing w:before="9"/>
        <w:rPr>
          <w:sz w:val="23"/>
        </w:rPr>
      </w:pPr>
    </w:p>
    <w:p>
      <w:pPr>
        <w:pStyle w:val="ListParagraph"/>
        <w:numPr>
          <w:ilvl w:val="0"/>
          <w:numId w:val="1"/>
        </w:numPr>
        <w:tabs>
          <w:tab w:pos="825" w:val="left" w:leader="none"/>
        </w:tabs>
        <w:spacing w:line="240" w:lineRule="auto" w:before="0" w:after="0"/>
        <w:ind w:left="824" w:right="587" w:hanging="360"/>
        <w:jc w:val="left"/>
        <w:rPr>
          <w:sz w:val="24"/>
        </w:rPr>
      </w:pPr>
      <w:r>
        <w:rPr>
          <w:sz w:val="24"/>
        </w:rPr>
        <w:t>The Plaintiff’s self-created decision as to whether to exercise his right not to testify because he is a defendant in a criminal matter does not amount to good cause for </w:t>
      </w:r>
      <w:r>
        <w:rPr>
          <w:spacing w:val="-11"/>
          <w:sz w:val="24"/>
        </w:rPr>
        <w:t>a </w:t>
      </w:r>
      <w:r>
        <w:rPr>
          <w:sz w:val="24"/>
        </w:rPr>
        <w:t>continuance.</w:t>
      </w:r>
    </w:p>
    <w:p>
      <w:pPr>
        <w:pStyle w:val="BodyText"/>
        <w:rPr>
          <w:sz w:val="26"/>
        </w:rPr>
      </w:pPr>
    </w:p>
    <w:p>
      <w:pPr>
        <w:pStyle w:val="BodyText"/>
        <w:rPr>
          <w:sz w:val="26"/>
        </w:rPr>
      </w:pPr>
    </w:p>
    <w:p>
      <w:pPr>
        <w:pStyle w:val="Heading1"/>
        <w:spacing w:before="230"/>
        <w:ind w:right="4214"/>
        <w:jc w:val="center"/>
        <w:rPr>
          <w:u w:val="none"/>
        </w:rPr>
      </w:pPr>
      <w:r>
        <w:rPr>
          <w:u w:val="single"/>
        </w:rPr>
        <w:t>CONCLUSION</w:t>
      </w:r>
    </w:p>
    <w:p>
      <w:pPr>
        <w:pStyle w:val="BodyText"/>
        <w:rPr>
          <w:b/>
          <w:sz w:val="16"/>
        </w:rPr>
      </w:pPr>
    </w:p>
    <w:p>
      <w:pPr>
        <w:pStyle w:val="ListParagraph"/>
        <w:numPr>
          <w:ilvl w:val="0"/>
          <w:numId w:val="1"/>
        </w:numPr>
        <w:tabs>
          <w:tab w:pos="892" w:val="left" w:leader="none"/>
        </w:tabs>
        <w:spacing w:line="240" w:lineRule="auto" w:before="93" w:after="0"/>
        <w:ind w:left="824" w:right="121" w:hanging="360"/>
        <w:jc w:val="left"/>
        <w:rPr>
          <w:sz w:val="24"/>
        </w:rPr>
      </w:pPr>
      <w:r>
        <w:rPr>
          <w:sz w:val="24"/>
        </w:rPr>
        <w:t>The Plaintiff has not shown good cause for a continuance of the permanent protection order hearing currently scheduled for August 13, 2015. Even if the Court finds good cause based on the Plaintiff’s self-created reason for the continuance, the C.R.S. </w:t>
      </w:r>
      <w:r>
        <w:rPr>
          <w:spacing w:val="-3"/>
          <w:sz w:val="24"/>
        </w:rPr>
        <w:t>13-14- </w:t>
      </w:r>
      <w:r>
        <w:rPr>
          <w:sz w:val="24"/>
        </w:rPr>
        <w:t>106(b) does not permit a continuance past the date requested by the</w:t>
      </w:r>
      <w:r>
        <w:rPr>
          <w:spacing w:val="-5"/>
          <w:sz w:val="24"/>
        </w:rPr>
        <w:t> </w:t>
      </w:r>
      <w:r>
        <w:rPr>
          <w:sz w:val="24"/>
        </w:rPr>
        <w:t>Plaintiff.</w:t>
      </w:r>
    </w:p>
    <w:p>
      <w:pPr>
        <w:pStyle w:val="BodyText"/>
        <w:spacing w:before="9"/>
        <w:rPr>
          <w:sz w:val="23"/>
        </w:rPr>
      </w:pPr>
    </w:p>
    <w:p>
      <w:pPr>
        <w:pStyle w:val="ListParagraph"/>
        <w:numPr>
          <w:ilvl w:val="0"/>
          <w:numId w:val="1"/>
        </w:numPr>
        <w:tabs>
          <w:tab w:pos="892" w:val="left" w:leader="none"/>
        </w:tabs>
        <w:spacing w:line="240" w:lineRule="auto" w:before="0" w:after="0"/>
        <w:ind w:left="824" w:right="161" w:hanging="360"/>
        <w:jc w:val="left"/>
        <w:rPr>
          <w:sz w:val="24"/>
        </w:rPr>
      </w:pPr>
      <w:r>
        <w:rPr>
          <w:sz w:val="24"/>
        </w:rPr>
        <w:t>Mr. Beeson will be prejudiced if the protection order is allowed to continue any longer than necessary. The Plaintiff’s request for a permanent protection order is without merit and the Mr. Beeson seeks to resolve this</w:t>
      </w:r>
      <w:r>
        <w:rPr>
          <w:spacing w:val="-3"/>
          <w:sz w:val="24"/>
        </w:rPr>
        <w:t> </w:t>
      </w:r>
      <w:r>
        <w:rPr>
          <w:sz w:val="24"/>
        </w:rPr>
        <w:t>matter.</w:t>
      </w:r>
    </w:p>
    <w:p>
      <w:pPr>
        <w:spacing w:after="0" w:line="240" w:lineRule="auto"/>
        <w:jc w:val="left"/>
        <w:rPr>
          <w:sz w:val="24"/>
        </w:rPr>
        <w:sectPr>
          <w:pgSz w:w="12240" w:h="15840"/>
          <w:pgMar w:top="940" w:bottom="280" w:left="1340" w:right="600"/>
        </w:sectPr>
      </w:pPr>
    </w:p>
    <w:p>
      <w:pPr>
        <w:pStyle w:val="BodyText"/>
        <w:spacing w:before="68"/>
        <w:ind w:left="104" w:right="306"/>
      </w:pPr>
      <w:r>
        <w:rPr/>
        <w:t>WHEREFORE, Shawn Beeson, through counsel, respectfully requests this Honorable Court grant the relief requested in Respondent’s Response to Plaintiff’s Motion to Continue Permanent Protection Order Hearing Set for August 13, 2015. Mr. Beeson further requests a hearing on this matter.</w:t>
      </w:r>
    </w:p>
    <w:p>
      <w:pPr>
        <w:pStyle w:val="BodyText"/>
        <w:rPr>
          <w:sz w:val="26"/>
        </w:rPr>
      </w:pPr>
    </w:p>
    <w:p>
      <w:pPr>
        <w:pStyle w:val="BodyText"/>
        <w:spacing w:before="205"/>
        <w:ind w:left="104"/>
      </w:pPr>
      <w:r>
        <w:rPr/>
        <w:t>Respectfully submitted this 7</w:t>
      </w:r>
      <w:r>
        <w:rPr>
          <w:vertAlign w:val="superscript"/>
        </w:rPr>
        <w:t>th</w:t>
      </w:r>
      <w:r>
        <w:rPr>
          <w:vertAlign w:val="baseline"/>
        </w:rPr>
        <w:t> day of August, 2015.</w:t>
      </w:r>
    </w:p>
    <w:p>
      <w:pPr>
        <w:pStyle w:val="BodyText"/>
        <w:rPr>
          <w:sz w:val="44"/>
        </w:rPr>
      </w:pPr>
    </w:p>
    <w:p>
      <w:pPr>
        <w:spacing w:before="1"/>
        <w:ind w:left="5144" w:right="0" w:firstLine="0"/>
        <w:jc w:val="left"/>
        <w:rPr>
          <w:sz w:val="24"/>
        </w:rPr>
      </w:pPr>
      <w:r>
        <w:rPr>
          <w:sz w:val="24"/>
        </w:rPr>
        <w:t>T</w:t>
      </w:r>
      <w:r>
        <w:rPr>
          <w:sz w:val="18"/>
        </w:rPr>
        <w:t>HE </w:t>
      </w:r>
      <w:r>
        <w:rPr>
          <w:sz w:val="24"/>
        </w:rPr>
        <w:t>L</w:t>
      </w:r>
      <w:r>
        <w:rPr>
          <w:sz w:val="18"/>
        </w:rPr>
        <w:t>AW </w:t>
      </w:r>
      <w:r>
        <w:rPr>
          <w:sz w:val="24"/>
        </w:rPr>
        <w:t>O</w:t>
      </w:r>
      <w:r>
        <w:rPr>
          <w:sz w:val="18"/>
        </w:rPr>
        <w:t>FFICE OF </w:t>
      </w:r>
      <w:r>
        <w:rPr>
          <w:sz w:val="24"/>
        </w:rPr>
        <w:t>M</w:t>
      </w:r>
      <w:r>
        <w:rPr>
          <w:sz w:val="18"/>
        </w:rPr>
        <w:t>ICHAEL </w:t>
      </w:r>
      <w:r>
        <w:rPr>
          <w:sz w:val="24"/>
        </w:rPr>
        <w:t>P. B</w:t>
      </w:r>
      <w:r>
        <w:rPr>
          <w:sz w:val="18"/>
        </w:rPr>
        <w:t>OYCE</w:t>
      </w:r>
      <w:r>
        <w:rPr>
          <w:sz w:val="24"/>
        </w:rPr>
        <w:t>, PC.</w:t>
      </w:r>
    </w:p>
    <w:p>
      <w:pPr>
        <w:pStyle w:val="BodyText"/>
        <w:spacing w:before="11"/>
        <w:rPr>
          <w:sz w:val="15"/>
        </w:rPr>
      </w:pPr>
    </w:p>
    <w:p>
      <w:pPr>
        <w:spacing w:after="0"/>
        <w:rPr>
          <w:sz w:val="15"/>
        </w:rPr>
        <w:sectPr>
          <w:pgSz w:w="12240" w:h="15840"/>
          <w:pgMar w:top="940" w:bottom="280" w:left="1340" w:right="600"/>
        </w:sectPr>
      </w:pPr>
    </w:p>
    <w:p>
      <w:pPr>
        <w:pStyle w:val="BodyText"/>
        <w:spacing w:before="92"/>
        <w:ind w:left="104"/>
      </w:pPr>
      <w:r>
        <w:rPr/>
        <w:t>Date: </w:t>
      </w:r>
      <w:r>
        <w:rPr>
          <w:u w:val="single"/>
        </w:rPr>
        <w:t>8/7/2015</w:t>
      </w:r>
    </w:p>
    <w:p>
      <w:pPr>
        <w:pStyle w:val="BodyText"/>
        <w:tabs>
          <w:tab w:pos="371" w:val="left" w:leader="none"/>
          <w:tab w:pos="4588" w:val="left" w:leader="none"/>
        </w:tabs>
        <w:spacing w:before="92"/>
        <w:ind w:left="104"/>
      </w:pPr>
      <w:r>
        <w:rPr/>
        <w:br w:type="column"/>
      </w:r>
      <w:r>
        <w:rPr>
          <w:u w:val="single"/>
        </w:rPr>
        <w:t> </w:t>
        <w:tab/>
        <w:t>/s/ Michael Boyce</w:t>
      </w:r>
      <w:r>
        <w:rPr>
          <w:spacing w:val="-1"/>
          <w:u w:val="single"/>
        </w:rPr>
        <w:t> </w:t>
      </w:r>
      <w:r>
        <w:rPr>
          <w:u w:val="single"/>
        </w:rPr>
        <w:t>#35729</w:t>
        <w:tab/>
      </w:r>
    </w:p>
    <w:p>
      <w:pPr>
        <w:spacing w:before="11"/>
        <w:ind w:left="104" w:right="0" w:firstLine="0"/>
        <w:jc w:val="left"/>
        <w:rPr>
          <w:sz w:val="19"/>
        </w:rPr>
      </w:pPr>
      <w:r>
        <w:rPr>
          <w:w w:val="105"/>
          <w:sz w:val="19"/>
        </w:rPr>
        <w:t>Attorney for Defendant</w:t>
      </w:r>
    </w:p>
    <w:p>
      <w:pPr>
        <w:pStyle w:val="BodyText"/>
        <w:spacing w:before="1"/>
        <w:rPr>
          <w:sz w:val="21"/>
        </w:rPr>
      </w:pPr>
    </w:p>
    <w:p>
      <w:pPr>
        <w:spacing w:line="247" w:lineRule="auto" w:before="0"/>
        <w:ind w:left="104" w:right="0" w:firstLine="0"/>
        <w:jc w:val="left"/>
        <w:rPr>
          <w:i/>
          <w:sz w:val="21"/>
        </w:rPr>
      </w:pPr>
      <w:r>
        <w:rPr>
          <w:i/>
          <w:w w:val="105"/>
          <w:sz w:val="21"/>
        </w:rPr>
        <w:t>(Original signature on file at The Law Office of </w:t>
      </w:r>
      <w:r>
        <w:rPr>
          <w:i/>
          <w:w w:val="105"/>
          <w:sz w:val="21"/>
        </w:rPr>
        <w:t>Michael P. Boyce, P.C.)</w:t>
      </w:r>
    </w:p>
    <w:p>
      <w:pPr>
        <w:spacing w:after="0" w:line="247" w:lineRule="auto"/>
        <w:jc w:val="left"/>
        <w:rPr>
          <w:sz w:val="21"/>
        </w:rPr>
        <w:sectPr>
          <w:type w:val="continuous"/>
          <w:pgSz w:w="12240" w:h="15840"/>
          <w:pgMar w:top="1020" w:bottom="280" w:left="1340" w:right="600"/>
          <w:cols w:num="2" w:equalWidth="0">
            <w:col w:w="1720" w:space="3320"/>
            <w:col w:w="5260"/>
          </w:cols>
        </w:sectPr>
      </w:pPr>
    </w:p>
    <w:p>
      <w:pPr>
        <w:spacing w:before="68"/>
        <w:ind w:left="3591" w:right="0" w:firstLine="0"/>
        <w:jc w:val="left"/>
        <w:rPr>
          <w:b/>
          <w:sz w:val="24"/>
        </w:rPr>
      </w:pPr>
      <w:r>
        <w:rPr>
          <w:b/>
          <w:sz w:val="24"/>
        </w:rPr>
        <w:t>CERTIFICATE OF SERVICE</w:t>
      </w:r>
    </w:p>
    <w:p>
      <w:pPr>
        <w:pStyle w:val="BodyText"/>
        <w:rPr>
          <w:b/>
        </w:rPr>
      </w:pPr>
    </w:p>
    <w:p>
      <w:pPr>
        <w:pStyle w:val="BodyText"/>
        <w:ind w:left="104" w:right="253"/>
        <w:jc w:val="both"/>
      </w:pPr>
      <w:r>
        <w:rPr/>
        <w:t>I hereby certify that I have delivered a true and correct copy of the Respondent’s Response to Plaintiff’s Motion to Continue Permanent Protection Order Hearing Set for August 13, 2015 to the following on August 7, 2015:</w:t>
      </w:r>
    </w:p>
    <w:p>
      <w:pPr>
        <w:pStyle w:val="BodyText"/>
      </w:pPr>
    </w:p>
    <w:p>
      <w:pPr>
        <w:spacing w:line="240" w:lineRule="auto" w:before="0"/>
        <w:ind w:left="104" w:right="7321" w:firstLine="0"/>
        <w:jc w:val="left"/>
        <w:rPr>
          <w:sz w:val="24"/>
        </w:rPr>
      </w:pPr>
      <w:r>
        <w:rPr>
          <w:i/>
          <w:sz w:val="24"/>
        </w:rPr>
        <w:t>Email/Electronic Filing </w:t>
      </w:r>
      <w:r>
        <w:rPr>
          <w:sz w:val="24"/>
        </w:rPr>
        <w:t>Abrams &amp; Associates, LLC Robert Abrams</w:t>
      </w:r>
    </w:p>
    <w:p>
      <w:pPr>
        <w:pStyle w:val="BodyText"/>
        <w:spacing w:line="274" w:lineRule="exact"/>
        <w:ind w:left="104"/>
      </w:pPr>
      <w:r>
        <w:rPr/>
        <w:t>700 17</w:t>
      </w:r>
      <w:r>
        <w:rPr>
          <w:vertAlign w:val="superscript"/>
        </w:rPr>
        <w:t>th</w:t>
      </w:r>
      <w:r>
        <w:rPr>
          <w:vertAlign w:val="baseline"/>
        </w:rPr>
        <w:t> Street, Suite 650</w:t>
      </w:r>
    </w:p>
    <w:p>
      <w:pPr>
        <w:pStyle w:val="BodyText"/>
        <w:spacing w:line="237" w:lineRule="auto" w:before="5"/>
        <w:ind w:left="104" w:right="7544"/>
      </w:pPr>
      <w:r>
        <w:rPr/>
        <w:t>Denver, CO 80202</w:t>
      </w:r>
      <w:hyperlink r:id="rId6">
        <w:r>
          <w:rPr/>
          <w:t> Robert@AbramsLaw.net</w:t>
        </w:r>
      </w:hyperlink>
    </w:p>
    <w:p>
      <w:pPr>
        <w:pStyle w:val="BodyText"/>
        <w:rPr>
          <w:sz w:val="20"/>
        </w:rPr>
      </w:pPr>
    </w:p>
    <w:p>
      <w:pPr>
        <w:pStyle w:val="BodyText"/>
        <w:spacing w:before="3"/>
        <w:rPr>
          <w:sz w:val="20"/>
        </w:rPr>
      </w:pPr>
    </w:p>
    <w:p>
      <w:pPr>
        <w:pStyle w:val="BodyText"/>
        <w:tabs>
          <w:tab w:pos="6264" w:val="left" w:leader="none"/>
          <w:tab w:pos="9680" w:val="left" w:leader="none"/>
        </w:tabs>
        <w:spacing w:before="92"/>
        <w:ind w:left="5864"/>
      </w:pPr>
      <w:r>
        <w:rPr>
          <w:u w:val="single"/>
        </w:rPr>
        <w:t> </w:t>
        <w:tab/>
        <w:t>/s/ Michael Boyce</w:t>
      </w:r>
      <w:r>
        <w:rPr>
          <w:spacing w:val="-1"/>
          <w:u w:val="single"/>
        </w:rPr>
        <w:t> </w:t>
      </w:r>
      <w:r>
        <w:rPr>
          <w:u w:val="single"/>
        </w:rPr>
        <w:t>#35729</w:t>
        <w:tab/>
      </w:r>
    </w:p>
    <w:p>
      <w:pPr>
        <w:pStyle w:val="BodyText"/>
        <w:rPr>
          <w:sz w:val="20"/>
        </w:rPr>
      </w:pPr>
    </w:p>
    <w:p>
      <w:pPr>
        <w:pStyle w:val="BodyText"/>
        <w:rPr>
          <w:sz w:val="20"/>
        </w:rPr>
      </w:pPr>
    </w:p>
    <w:p>
      <w:pPr>
        <w:spacing w:line="252" w:lineRule="auto" w:before="99"/>
        <w:ind w:left="5864" w:right="31" w:firstLine="0"/>
        <w:jc w:val="left"/>
        <w:rPr>
          <w:i/>
          <w:sz w:val="21"/>
        </w:rPr>
      </w:pPr>
      <w:r>
        <w:rPr>
          <w:i/>
          <w:w w:val="105"/>
          <w:sz w:val="21"/>
        </w:rPr>
        <w:t>(Original signature on file at The Law Office </w:t>
      </w:r>
      <w:r>
        <w:rPr>
          <w:i/>
          <w:w w:val="105"/>
          <w:sz w:val="21"/>
        </w:rPr>
        <w:t>of Michael P. Boyce, P.C.)</w:t>
      </w:r>
    </w:p>
    <w:sectPr>
      <w:pgSz w:w="12240" w:h="15840"/>
      <w:pgMar w:top="940" w:bottom="280" w:left="13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360"/>
        <w:jc w:val="left"/>
      </w:pPr>
      <w:rPr>
        <w:rFonts w:hint="default" w:ascii="Arial" w:hAnsi="Arial" w:eastAsia="Arial" w:cs="Arial"/>
        <w:spacing w:val="-3"/>
        <w:w w:val="100"/>
        <w:sz w:val="24"/>
        <w:szCs w:val="24"/>
      </w:rPr>
    </w:lvl>
    <w:lvl w:ilvl="1">
      <w:start w:val="1"/>
      <w:numFmt w:val="lowerLetter"/>
      <w:lvlText w:val="%2."/>
      <w:lvlJc w:val="left"/>
      <w:pPr>
        <w:ind w:left="1544" w:hanging="360"/>
        <w:jc w:val="left"/>
      </w:pPr>
      <w:rPr>
        <w:rFonts w:hint="default" w:ascii="Arial" w:hAnsi="Arial" w:eastAsia="Arial" w:cs="Arial"/>
        <w:spacing w:val="-6"/>
        <w:w w:val="100"/>
        <w:sz w:val="24"/>
        <w:szCs w:val="24"/>
      </w:rPr>
    </w:lvl>
    <w:lvl w:ilvl="2">
      <w:start w:val="0"/>
      <w:numFmt w:val="bullet"/>
      <w:lvlText w:val="•"/>
      <w:lvlJc w:val="left"/>
      <w:pPr>
        <w:ind w:left="2513" w:hanging="360"/>
      </w:pPr>
      <w:rPr>
        <w:rFonts w:hint="default"/>
      </w:rPr>
    </w:lvl>
    <w:lvl w:ilvl="3">
      <w:start w:val="0"/>
      <w:numFmt w:val="bullet"/>
      <w:lvlText w:val="•"/>
      <w:lvlJc w:val="left"/>
      <w:pPr>
        <w:ind w:left="3486"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406" w:hanging="360"/>
      </w:pPr>
      <w:rPr>
        <w:rFonts w:hint="default"/>
      </w:rPr>
    </w:lvl>
    <w:lvl w:ilvl="7">
      <w:start w:val="0"/>
      <w:numFmt w:val="bullet"/>
      <w:lvlText w:val="•"/>
      <w:lvlJc w:val="left"/>
      <w:pPr>
        <w:ind w:left="7380" w:hanging="360"/>
      </w:pPr>
      <w:rPr>
        <w:rFonts w:hint="default"/>
      </w:rPr>
    </w:lvl>
    <w:lvl w:ilvl="8">
      <w:start w:val="0"/>
      <w:numFmt w:val="bullet"/>
      <w:lvlText w:val="•"/>
      <w:lvlJc w:val="left"/>
      <w:pPr>
        <w:ind w:left="83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4206"/>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824"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2019-03-18T21:42:03Z</dcterms:created>
  <dcterms:modified xsi:type="dcterms:W3CDTF">2019-03-18T21:42:03Z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