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shapetype id="_x0000_t202" o:spt="202" coordsize="21600,21600" path="m,l,21600r21600,l21600,xe">
            <v:stroke joinstyle="miter"/>
            <v:path gradientshapeok="t" o:connecttype="rect"/>
          </v:shapetype>
          <v:shape style="position:absolute;margin-left:71.760002pt;margin-top:72pt;width:464.3pt;height:294pt;mso-position-horizontal-relative:page;mso-position-vertical-relative:page;z-index:109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00"/>
                    <w:gridCol w:w="2971"/>
                  </w:tblGrid>
                  <w:tr>
                    <w:trPr>
                      <w:trHeight w:val="1338" w:hRule="atLeast"/>
                    </w:trPr>
                    <w:tc>
                      <w:tcPr>
                        <w:tcW w:w="6300" w:type="dxa"/>
                        <w:tcBorders>
                          <w:bottom w:val="nil"/>
                        </w:tcBorders>
                      </w:tcPr>
                      <w:p>
                        <w:pPr>
                          <w:pStyle w:val="TableParagraph"/>
                          <w:ind w:right="1721"/>
                          <w:rPr>
                            <w:sz w:val="24"/>
                          </w:rPr>
                        </w:pPr>
                        <w:r>
                          <w:rPr>
                            <w:sz w:val="24"/>
                          </w:rPr>
                          <w:t>District Court, Jefferson County, Colorado 100 Jefferson County Parkway</w:t>
                        </w:r>
                      </w:p>
                      <w:p>
                        <w:pPr>
                          <w:pStyle w:val="TableParagraph"/>
                          <w:tabs>
                            <w:tab w:pos="5457" w:val="left" w:leader="none"/>
                          </w:tabs>
                          <w:spacing w:line="302" w:lineRule="exact"/>
                          <w:rPr>
                            <w:rFonts w:ascii="Times New Roman"/>
                            <w:sz w:val="20"/>
                          </w:rPr>
                        </w:pPr>
                        <w:r>
                          <w:rPr>
                            <w:sz w:val="24"/>
                          </w:rPr>
                          <w:t>Golden,</w:t>
                        </w:r>
                        <w:r>
                          <w:rPr>
                            <w:spacing w:val="-1"/>
                            <w:sz w:val="24"/>
                          </w:rPr>
                          <w:t> </w:t>
                        </w:r>
                        <w:r>
                          <w:rPr>
                            <w:sz w:val="24"/>
                          </w:rPr>
                          <w:t>CO</w:t>
                        </w:r>
                        <w:r>
                          <w:rPr>
                            <w:spacing w:val="64"/>
                            <w:sz w:val="24"/>
                          </w:rPr>
                          <w:t> </w:t>
                        </w:r>
                        <w:r>
                          <w:rPr>
                            <w:sz w:val="24"/>
                          </w:rPr>
                          <w:t>80401</w:t>
                          <w:tab/>
                        </w:r>
                        <w:r>
                          <w:rPr>
                            <w:rFonts w:ascii="Times New Roman"/>
                            <w:color w:val="0000FF"/>
                            <w:position w:val="-3"/>
                            <w:sz w:val="20"/>
                          </w:rPr>
                          <w:t>DATE</w:t>
                        </w:r>
                        <w:r>
                          <w:rPr>
                            <w:rFonts w:ascii="Times New Roman"/>
                            <w:color w:val="0000FF"/>
                            <w:spacing w:val="35"/>
                            <w:position w:val="-3"/>
                            <w:sz w:val="20"/>
                          </w:rPr>
                          <w:t> </w:t>
                        </w:r>
                        <w:r>
                          <w:rPr>
                            <w:rFonts w:ascii="Times New Roman"/>
                            <w:color w:val="0000FF"/>
                            <w:position w:val="-3"/>
                            <w:sz w:val="20"/>
                          </w:rPr>
                          <w:t>FI</w:t>
                        </w:r>
                      </w:p>
                      <w:p>
                        <w:pPr>
                          <w:pStyle w:val="TableParagraph"/>
                          <w:spacing w:line="225" w:lineRule="auto"/>
                          <w:ind w:left="5457"/>
                          <w:rPr>
                            <w:rFonts w:ascii="Times New Roman"/>
                            <w:sz w:val="20"/>
                          </w:rPr>
                        </w:pPr>
                        <w:r>
                          <w:rPr>
                            <w:rFonts w:ascii="Times New Roman"/>
                            <w:color w:val="0000FF"/>
                            <w:sz w:val="20"/>
                          </w:rPr>
                          <w:t>FILING I CASE N</w:t>
                        </w:r>
                      </w:p>
                    </w:tc>
                    <w:tc>
                      <w:tcPr>
                        <w:tcW w:w="2971" w:type="dxa"/>
                        <w:tcBorders>
                          <w:bottom w:val="nil"/>
                        </w:tcBorders>
                      </w:tcPr>
                      <w:p>
                        <w:pPr>
                          <w:pStyle w:val="TableParagraph"/>
                          <w:ind w:left="0"/>
                          <w:rPr>
                            <w:sz w:val="22"/>
                          </w:rPr>
                        </w:pPr>
                      </w:p>
                      <w:p>
                        <w:pPr>
                          <w:pStyle w:val="TableParagraph"/>
                          <w:ind w:left="0"/>
                          <w:rPr>
                            <w:sz w:val="22"/>
                          </w:rPr>
                        </w:pPr>
                      </w:p>
                      <w:p>
                        <w:pPr>
                          <w:pStyle w:val="TableParagraph"/>
                          <w:spacing w:line="225" w:lineRule="auto" w:before="132"/>
                          <w:ind w:left="-31" w:right="111" w:firstLine="111"/>
                          <w:rPr>
                            <w:rFonts w:ascii="Times New Roman"/>
                            <w:sz w:val="20"/>
                          </w:rPr>
                        </w:pPr>
                        <w:r>
                          <w:rPr>
                            <w:rFonts w:ascii="Times New Roman"/>
                            <w:color w:val="0000FF"/>
                            <w:sz w:val="20"/>
                          </w:rPr>
                          <w:t>ED: February 6, 2017 11:42 PM D: 2CB11304DCDC9</w:t>
                        </w:r>
                      </w:p>
                      <w:p>
                        <w:pPr>
                          <w:pStyle w:val="TableParagraph"/>
                          <w:spacing w:line="218" w:lineRule="exact"/>
                          <w:ind w:left="45"/>
                          <w:rPr>
                            <w:rFonts w:ascii="Times New Roman"/>
                            <w:sz w:val="20"/>
                          </w:rPr>
                        </w:pPr>
                        <w:r>
                          <w:rPr>
                            <w:rFonts w:ascii="Times New Roman"/>
                            <w:color w:val="0000FF"/>
                            <w:sz w:val="20"/>
                          </w:rPr>
                          <w:t>MBER: 2016CR1463</w:t>
                        </w:r>
                      </w:p>
                    </w:tc>
                  </w:tr>
                  <w:tr>
                    <w:trPr>
                      <w:trHeight w:val="735" w:hRule="atLeast"/>
                    </w:trPr>
                    <w:tc>
                      <w:tcPr>
                        <w:tcW w:w="6300" w:type="dxa"/>
                        <w:tcBorders>
                          <w:top w:val="nil"/>
                          <w:bottom w:val="nil"/>
                        </w:tcBorders>
                      </w:tcPr>
                      <w:p>
                        <w:pPr>
                          <w:pStyle w:val="TableParagraph"/>
                          <w:spacing w:before="41"/>
                          <w:rPr>
                            <w:b/>
                            <w:sz w:val="24"/>
                          </w:rPr>
                        </w:pPr>
                        <w:r>
                          <w:rPr>
                            <w:b/>
                            <w:sz w:val="24"/>
                          </w:rPr>
                          <w:t>PEOPLE OF THE STATE OF COLORADO</w:t>
                        </w:r>
                      </w:p>
                      <w:p>
                        <w:pPr>
                          <w:pStyle w:val="TableParagraph"/>
                          <w:rPr>
                            <w:sz w:val="24"/>
                          </w:rPr>
                        </w:pPr>
                        <w:r>
                          <w:rPr>
                            <w:sz w:val="24"/>
                          </w:rPr>
                          <w:t>v.</w:t>
                        </w:r>
                      </w:p>
                    </w:tc>
                    <w:tc>
                      <w:tcPr>
                        <w:tcW w:w="2971" w:type="dxa"/>
                        <w:tcBorders>
                          <w:top w:val="nil"/>
                          <w:bottom w:val="nil"/>
                        </w:tcBorders>
                      </w:tcPr>
                      <w:p>
                        <w:pPr>
                          <w:pStyle w:val="TableParagraph"/>
                          <w:ind w:left="0"/>
                          <w:rPr>
                            <w:rFonts w:ascii="Times New Roman"/>
                            <w:sz w:val="22"/>
                          </w:rPr>
                        </w:pPr>
                      </w:p>
                    </w:tc>
                  </w:tr>
                  <w:tr>
                    <w:trPr>
                      <w:trHeight w:val="853" w:hRule="atLeast"/>
                    </w:trPr>
                    <w:tc>
                      <w:tcPr>
                        <w:tcW w:w="6300" w:type="dxa"/>
                        <w:tcBorders>
                          <w:top w:val="nil"/>
                          <w:bottom w:val="nil"/>
                        </w:tcBorders>
                      </w:tcPr>
                      <w:p>
                        <w:pPr>
                          <w:pStyle w:val="TableParagraph"/>
                          <w:spacing w:before="134"/>
                          <w:rPr>
                            <w:b/>
                            <w:sz w:val="24"/>
                          </w:rPr>
                        </w:pPr>
                        <w:r>
                          <w:rPr>
                            <w:b/>
                            <w:sz w:val="24"/>
                          </w:rPr>
                          <w:t>GARY LEE NICKAL</w:t>
                        </w:r>
                      </w:p>
                      <w:p>
                        <w:pPr>
                          <w:pStyle w:val="TableParagraph"/>
                          <w:rPr>
                            <w:sz w:val="24"/>
                          </w:rPr>
                        </w:pPr>
                        <w:r>
                          <w:rPr>
                            <w:sz w:val="24"/>
                          </w:rPr>
                          <w:t>Defendant</w:t>
                        </w:r>
                      </w:p>
                    </w:tc>
                    <w:tc>
                      <w:tcPr>
                        <w:tcW w:w="2971" w:type="dxa"/>
                        <w:tcBorders>
                          <w:top w:val="nil"/>
                          <w:bottom w:val="nil"/>
                        </w:tcBorders>
                      </w:tcPr>
                      <w:p>
                        <w:pPr>
                          <w:pStyle w:val="TableParagraph"/>
                          <w:ind w:left="0"/>
                          <w:rPr>
                            <w:rFonts w:ascii="Times New Roman"/>
                            <w:sz w:val="22"/>
                          </w:rPr>
                        </w:pPr>
                      </w:p>
                    </w:tc>
                  </w:tr>
                  <w:tr>
                    <w:trPr>
                      <w:trHeight w:val="2644" w:hRule="atLeast"/>
                    </w:trPr>
                    <w:tc>
                      <w:tcPr>
                        <w:tcW w:w="6300" w:type="dxa"/>
                        <w:tcBorders>
                          <w:top w:val="nil"/>
                        </w:tcBorders>
                      </w:tcPr>
                      <w:p>
                        <w:pPr>
                          <w:pStyle w:val="TableParagraph"/>
                          <w:spacing w:before="159"/>
                          <w:rPr>
                            <w:sz w:val="24"/>
                          </w:rPr>
                        </w:pPr>
                        <w:r>
                          <w:rPr>
                            <w:sz w:val="24"/>
                          </w:rPr>
                          <w:t>Peter A. Weir, District</w:t>
                        </w:r>
                        <w:r>
                          <w:rPr>
                            <w:spacing w:val="-12"/>
                            <w:sz w:val="24"/>
                          </w:rPr>
                          <w:t> </w:t>
                        </w:r>
                        <w:r>
                          <w:rPr>
                            <w:sz w:val="24"/>
                          </w:rPr>
                          <w:t>Attorney</w:t>
                        </w:r>
                      </w:p>
                      <w:p>
                        <w:pPr>
                          <w:pStyle w:val="TableParagraph"/>
                          <w:ind w:right="921"/>
                          <w:jc w:val="both"/>
                          <w:rPr>
                            <w:sz w:val="24"/>
                          </w:rPr>
                        </w:pPr>
                        <w:r>
                          <w:rPr>
                            <w:sz w:val="24"/>
                          </w:rPr>
                          <w:t>Eva Wilson, Senior Chief Deputy District Attorney Christian Gardner-Wood, Deputy District Attorney 500 Jefferson County</w:t>
                        </w:r>
                        <w:r>
                          <w:rPr>
                            <w:spacing w:val="-5"/>
                            <w:sz w:val="24"/>
                          </w:rPr>
                          <w:t> </w:t>
                        </w:r>
                        <w:r>
                          <w:rPr>
                            <w:sz w:val="24"/>
                          </w:rPr>
                          <w:t>Parkway</w:t>
                        </w:r>
                      </w:p>
                      <w:p>
                        <w:pPr>
                          <w:pStyle w:val="TableParagraph"/>
                          <w:rPr>
                            <w:sz w:val="24"/>
                          </w:rPr>
                        </w:pPr>
                        <w:r>
                          <w:rPr>
                            <w:sz w:val="24"/>
                          </w:rPr>
                          <w:t>Golden, CO</w:t>
                        </w:r>
                        <w:r>
                          <w:rPr>
                            <w:spacing w:val="66"/>
                            <w:sz w:val="24"/>
                          </w:rPr>
                          <w:t> </w:t>
                        </w:r>
                        <w:r>
                          <w:rPr>
                            <w:sz w:val="24"/>
                          </w:rPr>
                          <w:t>80401-6002</w:t>
                        </w:r>
                      </w:p>
                      <w:p>
                        <w:pPr>
                          <w:pStyle w:val="TableParagraph"/>
                          <w:rPr>
                            <w:sz w:val="24"/>
                          </w:rPr>
                        </w:pPr>
                        <w:r>
                          <w:rPr>
                            <w:sz w:val="24"/>
                          </w:rPr>
                          <w:t>Phone Number: </w:t>
                        </w:r>
                        <w:r>
                          <w:rPr>
                            <w:sz w:val="22"/>
                          </w:rPr>
                          <w:t>(</w:t>
                        </w:r>
                        <w:r>
                          <w:rPr>
                            <w:sz w:val="24"/>
                          </w:rPr>
                          <w:t>303) 271-6831</w:t>
                        </w:r>
                      </w:p>
                      <w:p>
                        <w:pPr>
                          <w:pStyle w:val="TableParagraph"/>
                          <w:tabs>
                            <w:tab w:pos="1898" w:val="left" w:leader="none"/>
                          </w:tabs>
                          <w:spacing w:line="237" w:lineRule="auto" w:before="2"/>
                          <w:ind w:right="2748"/>
                          <w:rPr>
                            <w:sz w:val="24"/>
                          </w:rPr>
                        </w:pPr>
                        <w:r>
                          <w:rPr>
                            <w:sz w:val="24"/>
                          </w:rPr>
                          <w:t>Fax</w:t>
                        </w:r>
                        <w:r>
                          <w:rPr>
                            <w:spacing w:val="-3"/>
                            <w:sz w:val="24"/>
                          </w:rPr>
                          <w:t> </w:t>
                        </w:r>
                        <w:r>
                          <w:rPr>
                            <w:sz w:val="24"/>
                          </w:rPr>
                          <w:t>Number:</w:t>
                          <w:tab/>
                          <w:t>(303) 271-6888 E-mail:</w:t>
                        </w:r>
                        <w:r>
                          <w:rPr>
                            <w:spacing w:val="64"/>
                            <w:sz w:val="24"/>
                          </w:rPr>
                          <w:t> </w:t>
                        </w:r>
                        <w:hyperlink r:id="rId5">
                          <w:r>
                            <w:rPr>
                              <w:color w:val="0000FF"/>
                              <w:sz w:val="24"/>
                              <w:u w:val="single" w:color="0000FF"/>
                            </w:rPr>
                            <w:t>cgardner@jeffco.us</w:t>
                          </w:r>
                        </w:hyperlink>
                      </w:p>
                      <w:p>
                        <w:pPr>
                          <w:pStyle w:val="TableParagraph"/>
                          <w:spacing w:line="260" w:lineRule="exact" w:before="1"/>
                          <w:rPr>
                            <w:sz w:val="24"/>
                          </w:rPr>
                        </w:pPr>
                        <w:r>
                          <w:rPr>
                            <w:sz w:val="24"/>
                          </w:rPr>
                          <w:t>Atty. Reg. #: 38889</w:t>
                        </w:r>
                      </w:p>
                    </w:tc>
                    <w:tc>
                      <w:tcPr>
                        <w:tcW w:w="2971" w:type="dxa"/>
                        <w:tcBorders>
                          <w:top w:val="nil"/>
                        </w:tcBorders>
                      </w:tcPr>
                      <w:p>
                        <w:pPr>
                          <w:pStyle w:val="TableParagraph"/>
                          <w:spacing w:before="163"/>
                          <w:ind w:left="591" w:right="630"/>
                          <w:jc w:val="center"/>
                          <w:rPr>
                            <w:b/>
                            <w:sz w:val="19"/>
                          </w:rPr>
                        </w:pPr>
                        <w:r>
                          <w:rPr>
                            <w:b/>
                            <w:sz w:val="19"/>
                          </w:rPr>
                          <w:t>COURT USE ONLY</w:t>
                        </w:r>
                      </w:p>
                      <w:p>
                        <w:pPr>
                          <w:pStyle w:val="TableParagraph"/>
                          <w:ind w:left="0"/>
                          <w:rPr>
                            <w:sz w:val="20"/>
                          </w:rPr>
                        </w:pPr>
                      </w:p>
                      <w:p>
                        <w:pPr>
                          <w:pStyle w:val="TableParagraph"/>
                          <w:spacing w:before="116"/>
                          <w:rPr>
                            <w:sz w:val="24"/>
                          </w:rPr>
                        </w:pPr>
                        <w:r>
                          <w:rPr>
                            <w:sz w:val="24"/>
                          </w:rPr>
                          <w:t>Case Number:</w:t>
                        </w:r>
                      </w:p>
                      <w:p>
                        <w:pPr>
                          <w:pStyle w:val="TableParagraph"/>
                          <w:ind w:left="0"/>
                          <w:rPr>
                            <w:sz w:val="24"/>
                          </w:rPr>
                        </w:pPr>
                      </w:p>
                      <w:p>
                        <w:pPr>
                          <w:pStyle w:val="TableParagraph"/>
                          <w:ind w:left="591" w:right="585"/>
                          <w:jc w:val="center"/>
                          <w:rPr>
                            <w:b/>
                            <w:sz w:val="24"/>
                          </w:rPr>
                        </w:pPr>
                        <w:r>
                          <w:rPr>
                            <w:b/>
                            <w:sz w:val="24"/>
                          </w:rPr>
                          <w:t>16CR1463</w:t>
                        </w:r>
                      </w:p>
                      <w:p>
                        <w:pPr>
                          <w:pStyle w:val="TableParagraph"/>
                          <w:ind w:left="0"/>
                          <w:rPr>
                            <w:sz w:val="26"/>
                          </w:rPr>
                        </w:pPr>
                      </w:p>
                      <w:p>
                        <w:pPr>
                          <w:pStyle w:val="TableParagraph"/>
                          <w:tabs>
                            <w:tab w:pos="1122" w:val="left" w:leader="none"/>
                          </w:tabs>
                          <w:spacing w:before="162"/>
                          <w:rPr>
                            <w:sz w:val="24"/>
                          </w:rPr>
                        </w:pPr>
                        <w:r>
                          <w:rPr>
                            <w:sz w:val="24"/>
                          </w:rPr>
                          <w:t>Div.:</w:t>
                        </w:r>
                        <w:r>
                          <w:rPr>
                            <w:spacing w:val="-1"/>
                            <w:sz w:val="24"/>
                          </w:rPr>
                          <w:t> </w:t>
                        </w:r>
                        <w:r>
                          <w:rPr>
                            <w:sz w:val="24"/>
                          </w:rPr>
                          <w:t>12</w:t>
                          <w:tab/>
                          <w:t>Ctrm:</w:t>
                        </w:r>
                        <w:r>
                          <w:rPr>
                            <w:spacing w:val="-3"/>
                            <w:sz w:val="24"/>
                          </w:rPr>
                          <w:t> </w:t>
                        </w:r>
                        <w:r>
                          <w:rPr>
                            <w:sz w:val="24"/>
                          </w:rPr>
                          <w:t>5D</w:t>
                        </w:r>
                      </w:p>
                    </w:tc>
                  </w:tr>
                  <w:tr>
                    <w:trPr>
                      <w:trHeight w:val="277" w:hRule="atLeast"/>
                    </w:trPr>
                    <w:tc>
                      <w:tcPr>
                        <w:tcW w:w="9271" w:type="dxa"/>
                        <w:gridSpan w:val="2"/>
                      </w:tcPr>
                      <w:p>
                        <w:pPr>
                          <w:pStyle w:val="TableParagraph"/>
                          <w:spacing w:line="258" w:lineRule="exact"/>
                          <w:ind w:left="827"/>
                          <w:rPr>
                            <w:b/>
                            <w:sz w:val="24"/>
                          </w:rPr>
                        </w:pPr>
                        <w:r>
                          <w:rPr>
                            <w:b/>
                            <w:sz w:val="24"/>
                          </w:rPr>
                          <w:t>FORTHWITH MOTION TO VIDEOTAPE SANITY EXAMINATION (P-2)</w:t>
                        </w:r>
                      </w:p>
                    </w:tc>
                  </w:tr>
                </w:tbl>
                <w:p>
                  <w:pPr>
                    <w:pStyle w:val="BodyText"/>
                  </w:pPr>
                </w:p>
              </w:txbxContent>
            </v:textbox>
            <w10:wrap type="none"/>
          </v:shape>
        </w:pict>
      </w:r>
    </w:p>
    <w:p>
      <w:pPr>
        <w:pStyle w:val="BodyText"/>
        <w:rPr>
          <w:rFonts w:ascii="Times New Roman"/>
          <w:sz w:val="20"/>
        </w:rPr>
      </w:pPr>
    </w:p>
    <w:p>
      <w:pPr>
        <w:pStyle w:val="BodyText"/>
        <w:rPr>
          <w:rFonts w:ascii="Times New Roman"/>
          <w:sz w:val="20"/>
        </w:rPr>
      </w:pPr>
    </w:p>
    <w:p>
      <w:pPr>
        <w:pStyle w:val="BodyText"/>
        <w:rPr>
          <w:rFonts w:ascii="Times New Roman"/>
          <w:sz w:val="25"/>
        </w:rPr>
      </w:pPr>
    </w:p>
    <w:p>
      <w:pPr>
        <w:spacing w:before="92"/>
        <w:ind w:left="6319" w:right="0" w:firstLine="0"/>
        <w:jc w:val="left"/>
        <w:rPr>
          <w:rFonts w:ascii="Times New Roman"/>
          <w:sz w:val="20"/>
        </w:rPr>
      </w:pPr>
      <w:r>
        <w:rPr/>
        <w:pict>
          <v:line style="position:absolute;mso-position-horizontal-relative:page;mso-position-vertical-relative:paragraph;z-index:1072" from="75.959999pt,6.33595pt" to="383.039999pt,6.33595pt" stroked="true" strokeweight="1.44pt" strokecolor="#000000">
            <v:stroke dashstyle="solid"/>
            <w10:wrap type="none"/>
          </v:line>
        </w:pict>
      </w:r>
      <w:r>
        <w:rPr>
          <w:rFonts w:ascii="Times New Roman"/>
          <w:color w:val="0000FF"/>
          <w:spacing w:val="2"/>
          <w:sz w:val="20"/>
        </w:rPr>
        <w:t>U</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10"/>
        </w:rPr>
      </w:pPr>
      <w:r>
        <w:rPr/>
        <w:pict>
          <v:line style="position:absolute;mso-position-horizontal-relative:page;mso-position-vertical-relative:paragraph;z-index:-1024;mso-wrap-distance-left:0;mso-wrap-distance-right:0" from="75.959999pt,8.856963pt" to="383.039999pt,8.856963pt" stroked="true" strokeweight="1.44pt" strokecolor="#000000">
            <v:stroke dashstyle="solid"/>
            <w10:wrap type="topAndBottom"/>
          </v:line>
        </w:pict>
      </w:r>
    </w:p>
    <w:p>
      <w:pPr>
        <w:pStyle w:val="BodyText"/>
        <w:spacing w:before="3"/>
        <w:rPr>
          <w:rFonts w:ascii="Times New Roman"/>
          <w:sz w:val="3"/>
        </w:rPr>
      </w:pPr>
    </w:p>
    <w:p>
      <w:pPr>
        <w:pStyle w:val="BodyText"/>
        <w:spacing w:line="226" w:lineRule="exact"/>
        <w:ind w:left="6484"/>
        <w:rPr>
          <w:rFonts w:ascii="Times New Roman"/>
          <w:sz w:val="20"/>
        </w:rPr>
      </w:pPr>
      <w:r>
        <w:rPr>
          <w:rFonts w:ascii="Times New Roman"/>
          <w:position w:val="-4"/>
          <w:sz w:val="20"/>
        </w:rPr>
        <w:pict>
          <v:group style="width:140.65pt;height:11.3pt;mso-position-horizontal-relative:char;mso-position-vertical-relative:line" coordorigin="0,0" coordsize="2813,226">
            <v:line style="position:absolute" from="0,211" to="2813,211" stroked="true" strokeweight="1.44pt" strokecolor="#000000">
              <v:stroke dashstyle="solid"/>
            </v:line>
            <v:line style="position:absolute" from="2549,144" to="2549,100" stroked="true" strokeweight="1pt" strokecolor="#000000">
              <v:stroke dashstyle="solid"/>
            </v:line>
            <v:shape style="position:absolute;left:2488;top:0;width:120;height:120" coordorigin="2489,0" coordsize="120,120" path="m2549,0l2489,120,2609,120,2549,0xe" filled="true" fillcolor="#000000" stroked="false">
              <v:path arrowok="t"/>
              <v:fill type="solid"/>
            </v:shape>
            <v:line style="position:absolute" from="245,144" to="245,100" stroked="true" strokeweight="1pt" strokecolor="#000000">
              <v:stroke dashstyle="solid"/>
            </v:line>
            <v:shape style="position:absolute;left:184;top:0;width:120;height:120" coordorigin="185,0" coordsize="120,120" path="m245,0l185,120,305,120,245,0xe" filled="true" fillcolor="#000000" stroked="false">
              <v:path arrowok="t"/>
              <v:fill type="solid"/>
            </v:shape>
          </v:group>
        </w:pict>
      </w:r>
      <w:r>
        <w:rPr>
          <w:rFonts w:ascii="Times New Roman"/>
          <w:position w:val="-4"/>
          <w:sz w:val="20"/>
        </w:rPr>
      </w: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spacing w:before="182"/>
        <w:ind w:left="120" w:right="321" w:firstLine="1440"/>
      </w:pPr>
      <w:r>
        <w:rPr/>
        <w:t>PETER A. WEIR</w:t>
      </w:r>
      <w:r>
        <w:rPr>
          <w:rFonts w:ascii="Times New Roman"/>
          <w:sz w:val="20"/>
        </w:rPr>
        <w:t>, </w:t>
      </w:r>
      <w:r>
        <w:rPr/>
        <w:t>District Attorney in and for the First Judicial District, State of Colorado respectfully requests this Honorable Court order the Colorado Mental Health Institute in Pueblo (CMHIP), to videotape the sanity examination of the defendant. As grounds, the People state:</w:t>
      </w:r>
    </w:p>
    <w:p>
      <w:pPr>
        <w:pStyle w:val="BodyText"/>
      </w:pPr>
    </w:p>
    <w:p>
      <w:pPr>
        <w:pStyle w:val="ListParagraph"/>
        <w:numPr>
          <w:ilvl w:val="0"/>
          <w:numId w:val="1"/>
        </w:numPr>
        <w:tabs>
          <w:tab w:pos="840" w:val="left" w:leader="none"/>
        </w:tabs>
        <w:spacing w:line="240" w:lineRule="auto" w:before="0" w:after="0"/>
        <w:ind w:left="840" w:right="270" w:hanging="360"/>
        <w:jc w:val="left"/>
        <w:rPr>
          <w:sz w:val="24"/>
        </w:rPr>
      </w:pPr>
      <w:r>
        <w:rPr>
          <w:sz w:val="24"/>
        </w:rPr>
        <w:t>The defendant has been charged with Murder in the First Degree.  On September 6, 2016, the defendant pled not guilty by reason of insanity (NGRI). Since September 6</w:t>
      </w:r>
      <w:r>
        <w:rPr>
          <w:sz w:val="24"/>
          <w:vertAlign w:val="superscript"/>
        </w:rPr>
        <w:t>th</w:t>
      </w:r>
      <w:r>
        <w:rPr>
          <w:sz w:val="24"/>
          <w:vertAlign w:val="baseline"/>
        </w:rPr>
        <w:t>, the defendant has been in the Jefferson County Jail awaiting transport to the CMHIP. On February 1, 2017, the Court Services Department at the CMHIP notified the Court and parties that the defendant would be transported to the CMHIP on February 9, 2017 with an evaluation and report to be completed by March 31,</w:t>
      </w:r>
      <w:r>
        <w:rPr>
          <w:spacing w:val="-3"/>
          <w:sz w:val="24"/>
          <w:vertAlign w:val="baseline"/>
        </w:rPr>
        <w:t> </w:t>
      </w:r>
      <w:r>
        <w:rPr>
          <w:sz w:val="24"/>
          <w:vertAlign w:val="baseline"/>
        </w:rPr>
        <w:t>2017.</w:t>
      </w:r>
    </w:p>
    <w:p>
      <w:pPr>
        <w:pStyle w:val="BodyText"/>
        <w:spacing w:before="9"/>
        <w:rPr>
          <w:sz w:val="23"/>
        </w:rPr>
      </w:pPr>
    </w:p>
    <w:p>
      <w:pPr>
        <w:pStyle w:val="ListParagraph"/>
        <w:numPr>
          <w:ilvl w:val="0"/>
          <w:numId w:val="1"/>
        </w:numPr>
        <w:tabs>
          <w:tab w:pos="840" w:val="left" w:leader="none"/>
        </w:tabs>
        <w:spacing w:line="240" w:lineRule="auto" w:before="1" w:after="0"/>
        <w:ind w:left="840" w:right="333" w:hanging="360"/>
        <w:jc w:val="left"/>
        <w:rPr>
          <w:sz w:val="24"/>
        </w:rPr>
      </w:pPr>
      <w:r>
        <w:rPr>
          <w:sz w:val="24"/>
        </w:rPr>
        <w:t>The People had sent a letter to the CMHIP to request preservation of notes and reminding the staff of the requirement after January 1, 2017 that evaluations be videotaped. This letter was sent out of an abundance of caution because the People anticipated that the CMHIP would automatically begin complying with the new requirement for any evaluations after January 1,</w:t>
      </w:r>
      <w:r>
        <w:rPr>
          <w:spacing w:val="-15"/>
          <w:sz w:val="24"/>
        </w:rPr>
        <w:t> </w:t>
      </w:r>
      <w:r>
        <w:rPr>
          <w:sz w:val="24"/>
        </w:rPr>
        <w:t>2017.</w:t>
      </w:r>
    </w:p>
    <w:p>
      <w:pPr>
        <w:pStyle w:val="BodyText"/>
        <w:spacing w:before="11"/>
        <w:rPr>
          <w:sz w:val="23"/>
        </w:rPr>
      </w:pPr>
    </w:p>
    <w:p>
      <w:pPr>
        <w:pStyle w:val="ListParagraph"/>
        <w:numPr>
          <w:ilvl w:val="0"/>
          <w:numId w:val="1"/>
        </w:numPr>
        <w:tabs>
          <w:tab w:pos="840" w:val="left" w:leader="none"/>
        </w:tabs>
        <w:spacing w:line="240" w:lineRule="auto" w:before="0" w:after="0"/>
        <w:ind w:left="840" w:right="392" w:hanging="360"/>
        <w:jc w:val="left"/>
        <w:rPr>
          <w:sz w:val="24"/>
        </w:rPr>
      </w:pPr>
      <w:r>
        <w:rPr>
          <w:sz w:val="24"/>
        </w:rPr>
        <w:t>On February 3, 2017, the People’s paralegal received an email from Lori Carter, Evaluations/Admissions Coordinator at the CMHIP indicating that there was no order for videotaping and without an order they would not be videotaping the evaluation of the defendant.</w:t>
      </w:r>
    </w:p>
    <w:p>
      <w:pPr>
        <w:spacing w:after="0" w:line="240" w:lineRule="auto"/>
        <w:jc w:val="left"/>
        <w:rPr>
          <w:sz w:val="24"/>
        </w:rPr>
        <w:sectPr>
          <w:type w:val="continuous"/>
          <w:pgSz w:w="12240" w:h="15840"/>
          <w:pgMar w:top="1440" w:bottom="280" w:left="1320" w:right="1200"/>
        </w:sectPr>
      </w:pPr>
    </w:p>
    <w:p>
      <w:pPr>
        <w:pStyle w:val="ListParagraph"/>
        <w:numPr>
          <w:ilvl w:val="0"/>
          <w:numId w:val="1"/>
        </w:numPr>
        <w:tabs>
          <w:tab w:pos="840" w:val="left" w:leader="none"/>
        </w:tabs>
        <w:spacing w:line="240" w:lineRule="auto" w:before="75" w:after="0"/>
        <w:ind w:left="840" w:right="111" w:hanging="360"/>
        <w:jc w:val="left"/>
        <w:rPr>
          <w:sz w:val="24"/>
        </w:rPr>
      </w:pPr>
      <w:r>
        <w:rPr>
          <w:sz w:val="24"/>
        </w:rPr>
        <w:t>As the Court is aware, the law regarding sanity evaluations was amended effective January 1, 2017 to include the following</w:t>
      </w:r>
      <w:r>
        <w:rPr>
          <w:spacing w:val="-8"/>
          <w:sz w:val="24"/>
        </w:rPr>
        <w:t> </w:t>
      </w:r>
      <w:r>
        <w:rPr>
          <w:sz w:val="24"/>
        </w:rPr>
        <w:t>language:</w:t>
      </w:r>
    </w:p>
    <w:p>
      <w:pPr>
        <w:pStyle w:val="BodyText"/>
      </w:pPr>
    </w:p>
    <w:p>
      <w:pPr>
        <w:pStyle w:val="BodyText"/>
        <w:ind w:left="1559" w:right="1049"/>
      </w:pPr>
      <w:r>
        <w:rPr/>
        <w:t>“A interview conducted in any case that includes a class 1 or class 2 felony charge or a felony sex offense charge described in section 18-3-402, 18-3-404, 18-3-405, or 18-3-405.5, C.R.S., pursuant to</w:t>
      </w:r>
    </w:p>
    <w:p>
      <w:pPr>
        <w:pStyle w:val="BodyText"/>
        <w:spacing w:before="1"/>
        <w:ind w:left="1559" w:right="1049"/>
      </w:pPr>
      <w:r>
        <w:rPr/>
        <w:t>this section must be video and audio recorded and preserved. The court shall advise the defendant that any examination with a psychiatrist or forensic psychologist may be video and audio recorded.”</w:t>
      </w:r>
    </w:p>
    <w:p>
      <w:pPr>
        <w:pStyle w:val="BodyText"/>
        <w:spacing w:before="11"/>
        <w:rPr>
          <w:sz w:val="23"/>
        </w:rPr>
      </w:pPr>
    </w:p>
    <w:p>
      <w:pPr>
        <w:pStyle w:val="BodyText"/>
        <w:ind w:left="840"/>
      </w:pPr>
      <w:r>
        <w:rPr/>
        <w:t>C.R.S. 16-8-106(1)(b).</w:t>
      </w:r>
    </w:p>
    <w:p>
      <w:pPr>
        <w:pStyle w:val="BodyText"/>
      </w:pPr>
    </w:p>
    <w:p>
      <w:pPr>
        <w:pStyle w:val="ListParagraph"/>
        <w:numPr>
          <w:ilvl w:val="0"/>
          <w:numId w:val="1"/>
        </w:numPr>
        <w:tabs>
          <w:tab w:pos="840" w:val="left" w:leader="none"/>
        </w:tabs>
        <w:spacing w:line="240" w:lineRule="auto" w:before="0" w:after="0"/>
        <w:ind w:left="840" w:right="268" w:hanging="360"/>
        <w:jc w:val="left"/>
        <w:rPr>
          <w:sz w:val="24"/>
        </w:rPr>
      </w:pPr>
      <w:r>
        <w:rPr>
          <w:sz w:val="24"/>
        </w:rPr>
        <w:t>Apparently, in reviewing the new statute the CMHIP understands the amendment to 16-8-106(1)(b) to only apply to evaluations </w:t>
      </w:r>
      <w:r>
        <w:rPr>
          <w:sz w:val="24"/>
          <w:u w:val="single"/>
        </w:rPr>
        <w:t>ordered</w:t>
      </w:r>
      <w:r>
        <w:rPr>
          <w:sz w:val="24"/>
        </w:rPr>
        <w:t> after January 1, 2017. However, this view taken by the CMHIP does not consider the language of the signed Act of the Colorado General Assembly.</w:t>
      </w:r>
    </w:p>
    <w:p>
      <w:pPr>
        <w:pStyle w:val="BodyText"/>
      </w:pPr>
    </w:p>
    <w:p>
      <w:pPr>
        <w:pStyle w:val="BodyText"/>
        <w:ind w:left="1560" w:right="1483"/>
        <w:jc w:val="both"/>
      </w:pPr>
      <w:r>
        <w:rPr/>
        <w:t>“SECTION 4. Effective date - applicability. This act takes effect January 1, 2017, and applies to court-ordered mental condition examinations </w:t>
      </w:r>
      <w:r>
        <w:rPr>
          <w:b/>
        </w:rPr>
        <w:t>conducted </w:t>
      </w:r>
      <w:r>
        <w:rPr/>
        <w:t>on or after said date.”</w:t>
      </w:r>
    </w:p>
    <w:p>
      <w:pPr>
        <w:pStyle w:val="BodyText"/>
      </w:pPr>
    </w:p>
    <w:p>
      <w:pPr>
        <w:pStyle w:val="BodyText"/>
        <w:ind w:left="839"/>
      </w:pPr>
      <w:r>
        <w:rPr/>
        <w:t>S.B. 16-019. (Emphasis Added) See Attached.</w:t>
      </w:r>
    </w:p>
    <w:p>
      <w:pPr>
        <w:pStyle w:val="BodyText"/>
      </w:pPr>
    </w:p>
    <w:p>
      <w:pPr>
        <w:pStyle w:val="ListParagraph"/>
        <w:numPr>
          <w:ilvl w:val="0"/>
          <w:numId w:val="1"/>
        </w:numPr>
        <w:tabs>
          <w:tab w:pos="840" w:val="left" w:leader="none"/>
        </w:tabs>
        <w:spacing w:line="240" w:lineRule="auto" w:before="0" w:after="0"/>
        <w:ind w:left="840" w:right="535" w:hanging="360"/>
        <w:jc w:val="left"/>
        <w:rPr>
          <w:sz w:val="24"/>
        </w:rPr>
      </w:pPr>
      <w:r>
        <w:rPr>
          <w:sz w:val="24"/>
        </w:rPr>
        <w:t>Pursuant to S.B. 16-019, and anticipating the defendant’s evaluation would not take place until after January 1, 2017, the People requested during the NGRI plea advisement on September 6, 2016, and this Court agreed, that the defendant should be advised that his evaluation would be video and audio recorded.</w:t>
      </w:r>
    </w:p>
    <w:p>
      <w:pPr>
        <w:pStyle w:val="BodyText"/>
      </w:pPr>
    </w:p>
    <w:p>
      <w:pPr>
        <w:pStyle w:val="ListParagraph"/>
        <w:numPr>
          <w:ilvl w:val="0"/>
          <w:numId w:val="1"/>
        </w:numPr>
        <w:tabs>
          <w:tab w:pos="840" w:val="left" w:leader="none"/>
        </w:tabs>
        <w:spacing w:line="240" w:lineRule="auto" w:before="1" w:after="0"/>
        <w:ind w:left="840" w:right="843" w:hanging="360"/>
        <w:jc w:val="both"/>
        <w:rPr>
          <w:sz w:val="24"/>
        </w:rPr>
      </w:pPr>
      <w:r>
        <w:rPr>
          <w:sz w:val="24"/>
        </w:rPr>
        <w:t>Due to the language of C.R.S. 16-8-106(1)(b) and S.B. 16-019 it is clear the sanity evaluation of the defendant should be required to be audio and video recorded.</w:t>
      </w:r>
    </w:p>
    <w:p>
      <w:pPr>
        <w:pStyle w:val="BodyText"/>
        <w:spacing w:before="11"/>
        <w:rPr>
          <w:sz w:val="23"/>
        </w:rPr>
      </w:pPr>
    </w:p>
    <w:p>
      <w:pPr>
        <w:pStyle w:val="ListParagraph"/>
        <w:numPr>
          <w:ilvl w:val="0"/>
          <w:numId w:val="1"/>
        </w:numPr>
        <w:tabs>
          <w:tab w:pos="840" w:val="left" w:leader="none"/>
        </w:tabs>
        <w:spacing w:line="240" w:lineRule="auto" w:before="0" w:after="0"/>
        <w:ind w:left="840" w:right="792" w:hanging="360"/>
        <w:jc w:val="left"/>
        <w:rPr>
          <w:sz w:val="24"/>
        </w:rPr>
      </w:pPr>
      <w:r>
        <w:rPr>
          <w:sz w:val="24"/>
        </w:rPr>
        <w:t>The undersigned has been in contact with counsel for the defendant, Patrick Mulligan. Mr. Mulligan indicates that he objects to this</w:t>
      </w:r>
      <w:r>
        <w:rPr>
          <w:spacing w:val="-8"/>
          <w:sz w:val="24"/>
        </w:rPr>
        <w:t> </w:t>
      </w:r>
      <w:r>
        <w:rPr>
          <w:sz w:val="24"/>
        </w:rPr>
        <w:t>request.</w:t>
      </w:r>
    </w:p>
    <w:p>
      <w:pPr>
        <w:pStyle w:val="BodyText"/>
      </w:pPr>
    </w:p>
    <w:p>
      <w:pPr>
        <w:pStyle w:val="ListParagraph"/>
        <w:numPr>
          <w:ilvl w:val="1"/>
          <w:numId w:val="1"/>
        </w:numPr>
        <w:tabs>
          <w:tab w:pos="1560" w:val="left" w:leader="none"/>
        </w:tabs>
        <w:spacing w:line="240" w:lineRule="auto" w:before="0" w:after="0"/>
        <w:ind w:left="1560" w:right="471" w:hanging="360"/>
        <w:jc w:val="left"/>
        <w:rPr>
          <w:sz w:val="24"/>
        </w:rPr>
      </w:pPr>
      <w:r>
        <w:rPr>
          <w:sz w:val="24"/>
        </w:rPr>
        <w:t>It should be noted that Mr. Mulligan, in his conversations with the undersigned about the filing of this motion, noted that pursuant to C.R.S. 16-8-106(1)(c) the psychiatrist or forensic psychologist should assess whether the recording of the examination is likely to cause or is causing mental or physical harm to the defendant or others or will make the examination not useful to the expert forensic</w:t>
      </w:r>
      <w:r>
        <w:rPr>
          <w:spacing w:val="-10"/>
          <w:sz w:val="24"/>
        </w:rPr>
        <w:t> </w:t>
      </w:r>
      <w:r>
        <w:rPr>
          <w:sz w:val="24"/>
        </w:rPr>
        <w:t>opinion.</w:t>
      </w:r>
    </w:p>
    <w:p>
      <w:pPr>
        <w:pStyle w:val="BodyText"/>
      </w:pPr>
    </w:p>
    <w:p>
      <w:pPr>
        <w:pStyle w:val="ListParagraph"/>
        <w:numPr>
          <w:ilvl w:val="1"/>
          <w:numId w:val="1"/>
        </w:numPr>
        <w:tabs>
          <w:tab w:pos="1560" w:val="left" w:leader="none"/>
        </w:tabs>
        <w:spacing w:line="240" w:lineRule="auto" w:before="0" w:after="0"/>
        <w:ind w:left="1560" w:right="591" w:hanging="360"/>
        <w:jc w:val="left"/>
        <w:rPr>
          <w:sz w:val="24"/>
        </w:rPr>
      </w:pPr>
      <w:r>
        <w:rPr>
          <w:sz w:val="24"/>
        </w:rPr>
        <w:t>The People are not in disagreement with the applicability of subsection (1)(c); however, this does not change that pursuant to subsection</w:t>
      </w:r>
      <w:r>
        <w:rPr>
          <w:spacing w:val="-34"/>
          <w:sz w:val="24"/>
        </w:rPr>
        <w:t> </w:t>
      </w:r>
      <w:r>
        <w:rPr>
          <w:sz w:val="24"/>
        </w:rPr>
        <w:t>(1)(b)</w:t>
      </w:r>
    </w:p>
    <w:p>
      <w:pPr>
        <w:spacing w:after="0" w:line="240" w:lineRule="auto"/>
        <w:jc w:val="left"/>
        <w:rPr>
          <w:sz w:val="24"/>
        </w:rPr>
        <w:sectPr>
          <w:pgSz w:w="12240" w:h="15840"/>
          <w:pgMar w:top="1360" w:bottom="280" w:left="1320" w:right="1200"/>
        </w:sectPr>
      </w:pPr>
    </w:p>
    <w:p>
      <w:pPr>
        <w:pStyle w:val="BodyText"/>
        <w:spacing w:before="75"/>
        <w:ind w:left="1560" w:right="254"/>
      </w:pPr>
      <w:r>
        <w:rPr/>
        <w:t>that the evaluation shall be ordered to be audio and video recorded unless there is a specific finding pursuant to subsection (1)(c), with the required report submitted to the Court documenting the rationale for the finding.</w:t>
      </w:r>
    </w:p>
    <w:p>
      <w:pPr>
        <w:pStyle w:val="BodyText"/>
      </w:pPr>
    </w:p>
    <w:p>
      <w:pPr>
        <w:pStyle w:val="BodyText"/>
        <w:ind w:left="120" w:right="735"/>
      </w:pPr>
      <w:r>
        <w:rPr/>
        <w:t>WHEREFORE, the People respectfully request this Honorable Court issue an order directing the CMHIP to audio and video record the court-ordered evaluation of the defendant pursuant to the defendant’s decision to enter a plea of NGRI.</w:t>
      </w:r>
    </w:p>
    <w:p>
      <w:pPr>
        <w:pStyle w:val="BodyText"/>
        <w:spacing w:line="550" w:lineRule="atLeast" w:before="3"/>
        <w:ind w:left="119" w:right="7099"/>
      </w:pPr>
      <w:r>
        <w:rPr/>
        <w:drawing>
          <wp:anchor distT="0" distB="0" distL="0" distR="0" allowOverlap="1" layoutInCell="1" locked="0" behindDoc="1" simplePos="0" relativeHeight="268430471">
            <wp:simplePos x="0" y="0"/>
            <wp:positionH relativeFrom="page">
              <wp:posOffset>1208928</wp:posOffset>
            </wp:positionH>
            <wp:positionV relativeFrom="paragraph">
              <wp:posOffset>656222</wp:posOffset>
            </wp:positionV>
            <wp:extent cx="2989158" cy="1426742"/>
            <wp:effectExtent l="0" t="0" r="0" b="0"/>
            <wp:wrapNone/>
            <wp:docPr id="1" name="image1.png" descr="þÿ"/>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2989158" cy="1426742"/>
                    </a:xfrm>
                    <a:prstGeom prst="rect">
                      <a:avLst/>
                    </a:prstGeom>
                  </pic:spPr>
                </pic:pic>
              </a:graphicData>
            </a:graphic>
          </wp:anchor>
        </w:drawing>
      </w:r>
      <w:r>
        <w:rPr/>
        <w:t>Respectfully submitted,</w:t>
      </w:r>
      <w:bookmarkStart w:name="PETER A. WEIR" w:id="1"/>
      <w:bookmarkEnd w:id="1"/>
      <w:r>
        <w:rPr/>
      </w:r>
      <w:r>
        <w:rPr/>
        <w:t> PETER A. WEIR</w:t>
      </w:r>
    </w:p>
    <w:p>
      <w:pPr>
        <w:pStyle w:val="BodyText"/>
        <w:spacing w:before="2"/>
        <w:ind w:left="119"/>
      </w:pPr>
      <w:bookmarkStart w:name="District Attorney" w:id="2"/>
      <w:bookmarkEnd w:id="2"/>
      <w:r>
        <w:rPr/>
      </w:r>
      <w:r>
        <w:rPr/>
        <w:t>District Attorney</w:t>
      </w:r>
    </w:p>
    <w:p>
      <w:pPr>
        <w:pStyle w:val="BodyText"/>
        <w:rPr>
          <w:sz w:val="26"/>
        </w:rPr>
      </w:pPr>
    </w:p>
    <w:p>
      <w:pPr>
        <w:pStyle w:val="BodyText"/>
        <w:rPr>
          <w:sz w:val="26"/>
        </w:rPr>
      </w:pPr>
    </w:p>
    <w:p>
      <w:pPr>
        <w:pStyle w:val="BodyText"/>
        <w:tabs>
          <w:tab w:pos="4675" w:val="left" w:leader="none"/>
        </w:tabs>
        <w:spacing w:before="230"/>
        <w:ind w:left="839" w:right="5042" w:hanging="720"/>
      </w:pPr>
      <w:r>
        <w:rPr/>
        <w:t>By:</w:t>
      </w:r>
      <w:r>
        <w:rPr>
          <w:u w:val="single"/>
        </w:rPr>
        <w:tab/>
        <w:tab/>
      </w:r>
      <w:r>
        <w:rPr/>
        <w:t> Christian Gardner-Wood</w:t>
      </w:r>
    </w:p>
    <w:p>
      <w:pPr>
        <w:pStyle w:val="BodyText"/>
        <w:ind w:left="839" w:right="6340"/>
      </w:pPr>
      <w:r>
        <w:rPr/>
        <w:t>Deputy District Attorney Reg. No. 38889</w:t>
      </w:r>
    </w:p>
    <w:p>
      <w:pPr>
        <w:spacing w:after="0"/>
        <w:sectPr>
          <w:pgSz w:w="12240" w:h="15840"/>
          <w:pgMar w:top="1360" w:bottom="280" w:left="1320" w:right="1200"/>
        </w:sectPr>
      </w:pPr>
    </w:p>
    <w:p>
      <w:pPr>
        <w:pStyle w:val="BodyText"/>
        <w:spacing w:before="4"/>
        <w:rPr>
          <w:sz w:val="10"/>
        </w:rPr>
      </w:pPr>
    </w:p>
    <w:p>
      <w:pPr>
        <w:spacing w:before="92"/>
        <w:ind w:left="3247" w:right="3365" w:firstLine="0"/>
        <w:jc w:val="center"/>
        <w:rPr>
          <w:b/>
          <w:sz w:val="24"/>
        </w:rPr>
      </w:pPr>
      <w:r>
        <w:rPr>
          <w:b/>
          <w:sz w:val="24"/>
          <w:u w:val="thick"/>
        </w:rPr>
        <w:t>CERTIFICATE OF MAILING</w:t>
      </w:r>
    </w:p>
    <w:p>
      <w:pPr>
        <w:pStyle w:val="BodyText"/>
        <w:spacing w:before="2"/>
        <w:rPr>
          <w:b/>
          <w:sz w:val="16"/>
        </w:rPr>
      </w:pPr>
    </w:p>
    <w:p>
      <w:pPr>
        <w:pStyle w:val="BodyText"/>
        <w:spacing w:line="276" w:lineRule="auto" w:before="93"/>
        <w:ind w:left="120" w:right="350"/>
      </w:pPr>
      <w:r>
        <w:rPr/>
        <w:t>I hereby certify that a true and correct copy of the foregoing FORTHWITH MOTION TO VIDEOTAPE SANITY EXAMINATION (P-2) was served on February 6, 2017 via the Colorado Courts E-Filing System, properly addressed to the following:</w:t>
      </w:r>
    </w:p>
    <w:p>
      <w:pPr>
        <w:pStyle w:val="BodyText"/>
        <w:rPr>
          <w:sz w:val="26"/>
        </w:rPr>
      </w:pPr>
    </w:p>
    <w:p>
      <w:pPr>
        <w:pStyle w:val="BodyText"/>
        <w:spacing w:before="174"/>
        <w:ind w:left="120" w:right="7552"/>
      </w:pPr>
      <w:r>
        <w:rPr/>
        <w:pict>
          <v:group style="position:absolute;margin-left:326.191162pt;margin-top:25.369736pt;width:235.4pt;height:112.35pt;mso-position-horizontal-relative:page;mso-position-vertical-relative:paragraph;z-index:1144" coordorigin="6524,507" coordsize="4708,2247">
            <v:line style="position:absolute" from="6797,2028" to="10801,2028" stroked="true" strokeweight=".756pt" strokecolor="#000000">
              <v:stroke dashstyle="solid"/>
            </v:line>
            <v:shape style="position:absolute;left:6523;top:507;width:4708;height:2247" type="#_x0000_t75" alt="þÿ" stroked="false">
              <v:imagedata r:id="rId7" o:title=""/>
            </v:shape>
            <w10:wrap type="none"/>
          </v:group>
        </w:pict>
      </w:r>
      <w:r>
        <w:rPr/>
        <w:t>Patrick J. Mulligan Mulligan Breit, LLC</w:t>
      </w:r>
    </w:p>
    <w:sectPr>
      <w:pgSz w:w="12240" w:h="15840"/>
      <w:pgMar w:top="1500" w:bottom="280" w:left="132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40" w:hanging="360"/>
        <w:jc w:val="left"/>
      </w:pPr>
      <w:rPr>
        <w:rFonts w:hint="default" w:ascii="Arial" w:hAnsi="Arial" w:eastAsia="Arial" w:cs="Arial"/>
        <w:spacing w:val="-4"/>
        <w:w w:val="97"/>
        <w:sz w:val="24"/>
        <w:szCs w:val="24"/>
      </w:rPr>
    </w:lvl>
    <w:lvl w:ilvl="1">
      <w:start w:val="1"/>
      <w:numFmt w:val="lowerLetter"/>
      <w:lvlText w:val="%2."/>
      <w:lvlJc w:val="left"/>
      <w:pPr>
        <w:ind w:left="1560" w:hanging="360"/>
        <w:jc w:val="left"/>
      </w:pPr>
      <w:rPr>
        <w:rFonts w:hint="default" w:ascii="Arial" w:hAnsi="Arial" w:eastAsia="Arial" w:cs="Arial"/>
        <w:spacing w:val="-4"/>
        <w:w w:val="99"/>
        <w:sz w:val="24"/>
        <w:szCs w:val="24"/>
      </w:rPr>
    </w:lvl>
    <w:lvl w:ilvl="2">
      <w:start w:val="0"/>
      <w:numFmt w:val="bullet"/>
      <w:lvlText w:val="•"/>
      <w:lvlJc w:val="left"/>
      <w:pPr>
        <w:ind w:left="2466" w:hanging="360"/>
      </w:pPr>
      <w:rPr>
        <w:rFonts w:hint="default"/>
      </w:rPr>
    </w:lvl>
    <w:lvl w:ilvl="3">
      <w:start w:val="0"/>
      <w:numFmt w:val="bullet"/>
      <w:lvlText w:val="•"/>
      <w:lvlJc w:val="left"/>
      <w:pPr>
        <w:ind w:left="3373" w:hanging="360"/>
      </w:pPr>
      <w:rPr>
        <w:rFonts w:hint="default"/>
      </w:rPr>
    </w:lvl>
    <w:lvl w:ilvl="4">
      <w:start w:val="0"/>
      <w:numFmt w:val="bullet"/>
      <w:lvlText w:val="•"/>
      <w:lvlJc w:val="left"/>
      <w:pPr>
        <w:ind w:left="4280" w:hanging="360"/>
      </w:pPr>
      <w:rPr>
        <w:rFonts w:hint="default"/>
      </w:rPr>
    </w:lvl>
    <w:lvl w:ilvl="5">
      <w:start w:val="0"/>
      <w:numFmt w:val="bullet"/>
      <w:lvlText w:val="•"/>
      <w:lvlJc w:val="left"/>
      <w:pPr>
        <w:ind w:left="5186" w:hanging="360"/>
      </w:pPr>
      <w:rPr>
        <w:rFonts w:hint="default"/>
      </w:rPr>
    </w:lvl>
    <w:lvl w:ilvl="6">
      <w:start w:val="0"/>
      <w:numFmt w:val="bullet"/>
      <w:lvlText w:val="•"/>
      <w:lvlJc w:val="left"/>
      <w:pPr>
        <w:ind w:left="6093" w:hanging="360"/>
      </w:pPr>
      <w:rPr>
        <w:rFonts w:hint="default"/>
      </w:rPr>
    </w:lvl>
    <w:lvl w:ilvl="7">
      <w:start w:val="0"/>
      <w:numFmt w:val="bullet"/>
      <w:lvlText w:val="•"/>
      <w:lvlJc w:val="left"/>
      <w:pPr>
        <w:ind w:left="7000" w:hanging="360"/>
      </w:pPr>
      <w:rPr>
        <w:rFonts w:hint="default"/>
      </w:rPr>
    </w:lvl>
    <w:lvl w:ilvl="8">
      <w:start w:val="0"/>
      <w:numFmt w:val="bullet"/>
      <w:lvlText w:val="•"/>
      <w:lvlJc w:val="left"/>
      <w:pPr>
        <w:ind w:left="7906"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ListParagraph" w:type="paragraph">
    <w:name w:val="List Paragraph"/>
    <w:basedOn w:val="Normal"/>
    <w:uiPriority w:val="1"/>
    <w:qFormat/>
    <w:pPr>
      <w:ind w:left="840" w:right="111" w:hanging="360"/>
    </w:pPr>
    <w:rPr>
      <w:rFonts w:ascii="Arial" w:hAnsi="Arial" w:eastAsia="Arial" w:cs="Arial"/>
    </w:rPr>
  </w:style>
  <w:style w:styleId="TableParagraph" w:type="paragraph">
    <w:name w:val="Table Paragraph"/>
    <w:basedOn w:val="Normal"/>
    <w:uiPriority w:val="1"/>
    <w:qFormat/>
    <w:pPr>
      <w:ind w:left="107"/>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cgardner@jeffco.us"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2019-03-20T18:30:40Z</dcterms:created>
  <dcterms:modified xsi:type="dcterms:W3CDTF">2019-03-20T18:30:40Z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2017-10-27T00:00:00Z</vt:filetime>
  </property>
  <property fmtid="{D5CDD505-2E9C-101B-9397-08002B2CF9AE}" pid="3" name="LastSaved">
    <vt:filetime>2019-03-20T00:00:00Z</vt:filetime>
  </property>
</Properties>
</file>