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101AB" w14:textId="77777777" w:rsidR="00EA22EB" w:rsidRDefault="00EA22EB">
      <w:pPr>
        <w:pStyle w:val="BodyText"/>
        <w:rPr>
          <w:sz w:val="20"/>
        </w:rPr>
      </w:pPr>
    </w:p>
    <w:p w14:paraId="62C9E605" w14:textId="77777777" w:rsidR="00EA22EB" w:rsidRDefault="00EA22EB">
      <w:pPr>
        <w:pStyle w:val="BodyText"/>
        <w:rPr>
          <w:sz w:val="20"/>
        </w:rPr>
      </w:pPr>
    </w:p>
    <w:p w14:paraId="768A330B" w14:textId="77777777" w:rsidR="00EA22EB" w:rsidRDefault="00EA22EB">
      <w:pPr>
        <w:pStyle w:val="BodyText"/>
        <w:spacing w:before="4" w:after="1"/>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0"/>
        <w:gridCol w:w="3977"/>
      </w:tblGrid>
      <w:tr w:rsidR="00EA22EB" w14:paraId="521FFAB9" w14:textId="77777777">
        <w:trPr>
          <w:trHeight w:val="696"/>
        </w:trPr>
        <w:tc>
          <w:tcPr>
            <w:tcW w:w="5600" w:type="dxa"/>
            <w:tcBorders>
              <w:bottom w:val="nil"/>
            </w:tcBorders>
          </w:tcPr>
          <w:p w14:paraId="2ED5160C" w14:textId="77777777" w:rsidR="00EA22EB" w:rsidRDefault="004109F6">
            <w:pPr>
              <w:pStyle w:val="TableParagraph"/>
              <w:ind w:right="629"/>
              <w:rPr>
                <w:sz w:val="24"/>
              </w:rPr>
            </w:pPr>
            <w:r>
              <w:rPr>
                <w:sz w:val="24"/>
              </w:rPr>
              <w:t>ARAPAHOE COUNTY DISTRICT COURT STATE OF COLORADO</w:t>
            </w:r>
          </w:p>
        </w:tc>
        <w:tc>
          <w:tcPr>
            <w:tcW w:w="3977" w:type="dxa"/>
            <w:tcBorders>
              <w:bottom w:val="nil"/>
            </w:tcBorders>
          </w:tcPr>
          <w:p w14:paraId="3FBB9750" w14:textId="77777777" w:rsidR="00EA22EB" w:rsidRDefault="004109F6">
            <w:pPr>
              <w:pStyle w:val="TableParagraph"/>
              <w:spacing w:line="130" w:lineRule="exact"/>
              <w:ind w:left="338"/>
              <w:rPr>
                <w:sz w:val="20"/>
              </w:rPr>
            </w:pPr>
            <w:r>
              <w:rPr>
                <w:color w:val="0000FF"/>
                <w:sz w:val="20"/>
              </w:rPr>
              <w:t>DATE FILED: May 16, 2018 11:14 AM</w:t>
            </w:r>
          </w:p>
          <w:p w14:paraId="1AA8A072" w14:textId="77777777" w:rsidR="00EA22EB" w:rsidRDefault="004109F6">
            <w:pPr>
              <w:pStyle w:val="TableParagraph"/>
              <w:spacing w:before="4" w:line="225" w:lineRule="auto"/>
              <w:ind w:left="338" w:right="637"/>
              <w:rPr>
                <w:sz w:val="20"/>
              </w:rPr>
            </w:pPr>
            <w:r>
              <w:rPr>
                <w:color w:val="0000FF"/>
                <w:sz w:val="20"/>
              </w:rPr>
              <w:t>FILING ID: 4E8D66A8FE3EF CASE NUMBER: 2018CV31170</w:t>
            </w:r>
          </w:p>
        </w:tc>
      </w:tr>
      <w:tr w:rsidR="00EA22EB" w14:paraId="1B1D66A9" w14:textId="77777777">
        <w:trPr>
          <w:trHeight w:val="1099"/>
        </w:trPr>
        <w:tc>
          <w:tcPr>
            <w:tcW w:w="5600" w:type="dxa"/>
            <w:tcBorders>
              <w:top w:val="nil"/>
              <w:bottom w:val="nil"/>
            </w:tcBorders>
          </w:tcPr>
          <w:p w14:paraId="2FE265B9" w14:textId="77777777" w:rsidR="00EA22EB" w:rsidRDefault="004109F6">
            <w:pPr>
              <w:pStyle w:val="TableParagraph"/>
              <w:spacing w:before="126"/>
              <w:rPr>
                <w:sz w:val="24"/>
              </w:rPr>
            </w:pPr>
            <w:r>
              <w:rPr>
                <w:sz w:val="24"/>
                <w:u w:val="single"/>
              </w:rPr>
              <w:t>Court Address</w:t>
            </w:r>
            <w:r>
              <w:rPr>
                <w:sz w:val="24"/>
              </w:rPr>
              <w:t>:</w:t>
            </w:r>
          </w:p>
          <w:p w14:paraId="1B652DDF" w14:textId="77777777" w:rsidR="00EA22EB" w:rsidRDefault="004109F6">
            <w:pPr>
              <w:pStyle w:val="TableParagraph"/>
              <w:ind w:right="2750"/>
              <w:rPr>
                <w:sz w:val="24"/>
              </w:rPr>
            </w:pPr>
            <w:r>
              <w:rPr>
                <w:sz w:val="24"/>
              </w:rPr>
              <w:t>7325 South Potomac Street Centennial, Colorado 80112</w:t>
            </w:r>
          </w:p>
        </w:tc>
        <w:tc>
          <w:tcPr>
            <w:tcW w:w="3977" w:type="dxa"/>
            <w:tcBorders>
              <w:top w:val="nil"/>
              <w:bottom w:val="nil"/>
            </w:tcBorders>
          </w:tcPr>
          <w:p w14:paraId="139D7851" w14:textId="77777777" w:rsidR="00EA22EB" w:rsidRDefault="004109F6">
            <w:pPr>
              <w:pStyle w:val="TableParagraph"/>
              <w:spacing w:before="127"/>
              <w:ind w:left="986"/>
              <w:rPr>
                <w:rFonts w:ascii="Marlett" w:hAnsi="Marlett"/>
                <w:sz w:val="24"/>
              </w:rPr>
            </w:pPr>
            <w:r>
              <w:rPr>
                <w:rFonts w:ascii="Marlett" w:hAnsi="Marlett"/>
                <w:sz w:val="24"/>
              </w:rPr>
              <w:t></w:t>
            </w:r>
            <w:r>
              <w:rPr>
                <w:sz w:val="24"/>
              </w:rPr>
              <w:t>Court Use Only</w:t>
            </w:r>
            <w:r>
              <w:rPr>
                <w:rFonts w:ascii="Marlett" w:hAnsi="Marlett"/>
                <w:sz w:val="24"/>
              </w:rPr>
              <w:t></w:t>
            </w:r>
          </w:p>
        </w:tc>
      </w:tr>
      <w:tr w:rsidR="00EA22EB" w14:paraId="011E8528" w14:textId="77777777">
        <w:trPr>
          <w:trHeight w:val="554"/>
        </w:trPr>
        <w:tc>
          <w:tcPr>
            <w:tcW w:w="5600" w:type="dxa"/>
            <w:tcBorders>
              <w:top w:val="nil"/>
              <w:bottom w:val="nil"/>
            </w:tcBorders>
          </w:tcPr>
          <w:p w14:paraId="51F833D1" w14:textId="77777777" w:rsidR="00EA22EB" w:rsidRDefault="00EA22EB">
            <w:pPr>
              <w:pStyle w:val="TableParagraph"/>
              <w:spacing w:before="5"/>
              <w:ind w:left="0"/>
              <w:rPr>
                <w:sz w:val="10"/>
              </w:rPr>
            </w:pPr>
          </w:p>
          <w:p w14:paraId="39E8AB46" w14:textId="77777777" w:rsidR="00EA22EB" w:rsidRDefault="00AA6CFA">
            <w:pPr>
              <w:pStyle w:val="TableParagraph"/>
              <w:spacing w:line="20" w:lineRule="exact"/>
              <w:ind w:left="102"/>
              <w:rPr>
                <w:sz w:val="2"/>
              </w:rPr>
            </w:pPr>
            <w:r>
              <w:rPr>
                <w:sz w:val="2"/>
              </w:rPr>
            </w:r>
            <w:r>
              <w:rPr>
                <w:sz w:val="2"/>
              </w:rPr>
              <w:pict w14:anchorId="6141FDB6">
                <v:group id="_x0000_s1032" style="width:252pt;height:.5pt;mso-position-horizontal-relative:char;mso-position-vertical-relative:line" coordsize="5040,10">
                  <v:line id="_x0000_s1033" style="position:absolute" from="0,5" to="5040,5" strokeweight=".48pt"/>
                  <w10:wrap type="none"/>
                  <w10:anchorlock/>
                </v:group>
              </w:pict>
            </w:r>
          </w:p>
          <w:p w14:paraId="2DFF67CF" w14:textId="337A3EB8" w:rsidR="00EA22EB" w:rsidRDefault="004109F6">
            <w:pPr>
              <w:pStyle w:val="TableParagraph"/>
              <w:rPr>
                <w:b/>
                <w:sz w:val="24"/>
              </w:rPr>
            </w:pPr>
            <w:r>
              <w:rPr>
                <w:b/>
                <w:sz w:val="24"/>
              </w:rPr>
              <w:t>Plaintiff(s): NAME</w:t>
            </w:r>
          </w:p>
        </w:tc>
        <w:tc>
          <w:tcPr>
            <w:tcW w:w="3977" w:type="dxa"/>
            <w:tcBorders>
              <w:top w:val="nil"/>
              <w:bottom w:val="nil"/>
            </w:tcBorders>
          </w:tcPr>
          <w:p w14:paraId="3A3E3FB3" w14:textId="77777777" w:rsidR="00EA22EB" w:rsidRDefault="00EA22EB">
            <w:pPr>
              <w:pStyle w:val="TableParagraph"/>
              <w:ind w:left="0"/>
            </w:pPr>
          </w:p>
        </w:tc>
      </w:tr>
      <w:tr w:rsidR="00EA22EB" w14:paraId="2D4CBC10" w14:textId="77777777">
        <w:trPr>
          <w:trHeight w:val="1102"/>
        </w:trPr>
        <w:tc>
          <w:tcPr>
            <w:tcW w:w="5600" w:type="dxa"/>
            <w:tcBorders>
              <w:top w:val="nil"/>
              <w:bottom w:val="nil"/>
            </w:tcBorders>
          </w:tcPr>
          <w:p w14:paraId="0AE6FBD1" w14:textId="3B2EB94B" w:rsidR="00EA22EB" w:rsidRDefault="004109F6">
            <w:pPr>
              <w:pStyle w:val="TableParagraph"/>
              <w:spacing w:before="133"/>
              <w:ind w:right="629"/>
              <w:rPr>
                <w:b/>
                <w:sz w:val="24"/>
              </w:rPr>
            </w:pPr>
            <w:r>
              <w:rPr>
                <w:b/>
                <w:sz w:val="24"/>
              </w:rPr>
              <w:t>Defendant(s): BLANK NAME(s)</w:t>
            </w:r>
          </w:p>
        </w:tc>
        <w:tc>
          <w:tcPr>
            <w:tcW w:w="3977" w:type="dxa"/>
            <w:tcBorders>
              <w:top w:val="nil"/>
              <w:bottom w:val="nil"/>
            </w:tcBorders>
          </w:tcPr>
          <w:p w14:paraId="5A5741D0" w14:textId="77777777" w:rsidR="00EA22EB" w:rsidRDefault="00EA22EB">
            <w:pPr>
              <w:pStyle w:val="TableParagraph"/>
              <w:spacing w:before="8"/>
              <w:ind w:left="0"/>
              <w:rPr>
                <w:sz w:val="11"/>
              </w:rPr>
            </w:pPr>
          </w:p>
          <w:p w14:paraId="6084B971" w14:textId="77777777" w:rsidR="00EA22EB" w:rsidRDefault="00AA6CFA">
            <w:pPr>
              <w:pStyle w:val="TableParagraph"/>
              <w:spacing w:line="20" w:lineRule="exact"/>
              <w:ind w:left="242"/>
              <w:rPr>
                <w:sz w:val="2"/>
              </w:rPr>
            </w:pPr>
            <w:r>
              <w:rPr>
                <w:sz w:val="2"/>
              </w:rPr>
            </w:r>
            <w:r>
              <w:rPr>
                <w:sz w:val="2"/>
              </w:rPr>
              <w:pict w14:anchorId="46983DEC">
                <v:group id="_x0000_s1030" style="width:174pt;height:.5pt;mso-position-horizontal-relative:char;mso-position-vertical-relative:line" coordsize="3480,10">
                  <v:line id="_x0000_s1031" style="position:absolute" from="0,5" to="3480,5" strokeweight=".48pt"/>
                  <w10:wrap type="none"/>
                  <w10:anchorlock/>
                </v:group>
              </w:pict>
            </w:r>
          </w:p>
          <w:p w14:paraId="5ECB035C" w14:textId="77777777" w:rsidR="00EA22EB" w:rsidRDefault="004109F6">
            <w:pPr>
              <w:pStyle w:val="TableParagraph"/>
              <w:ind w:left="405"/>
              <w:rPr>
                <w:sz w:val="24"/>
              </w:rPr>
            </w:pPr>
            <w:r>
              <w:rPr>
                <w:sz w:val="24"/>
              </w:rPr>
              <w:t>Case Number:</w:t>
            </w:r>
          </w:p>
        </w:tc>
      </w:tr>
      <w:tr w:rsidR="00EA22EB" w14:paraId="17E0FE5C" w14:textId="77777777">
        <w:trPr>
          <w:trHeight w:val="3724"/>
        </w:trPr>
        <w:tc>
          <w:tcPr>
            <w:tcW w:w="5600" w:type="dxa"/>
            <w:tcBorders>
              <w:top w:val="nil"/>
            </w:tcBorders>
          </w:tcPr>
          <w:p w14:paraId="73D76AE8" w14:textId="77777777" w:rsidR="00EA22EB" w:rsidRDefault="00EA22EB">
            <w:pPr>
              <w:pStyle w:val="TableParagraph"/>
              <w:spacing w:before="5"/>
              <w:ind w:left="0"/>
              <w:rPr>
                <w:sz w:val="10"/>
              </w:rPr>
            </w:pPr>
          </w:p>
          <w:p w14:paraId="2A2D2FDB" w14:textId="77777777" w:rsidR="00EA22EB" w:rsidRDefault="00AA6CFA">
            <w:pPr>
              <w:pStyle w:val="TableParagraph"/>
              <w:spacing w:line="20" w:lineRule="exact"/>
              <w:ind w:left="102"/>
              <w:rPr>
                <w:sz w:val="2"/>
              </w:rPr>
            </w:pPr>
            <w:r>
              <w:rPr>
                <w:sz w:val="2"/>
              </w:rPr>
            </w:r>
            <w:r>
              <w:rPr>
                <w:sz w:val="2"/>
              </w:rPr>
              <w:pict w14:anchorId="7BC03DC8">
                <v:group id="_x0000_s1028" style="width:252pt;height:.5pt;mso-position-horizontal-relative:char;mso-position-vertical-relative:line" coordsize="5040,10">
                  <v:line id="_x0000_s1029" style="position:absolute" from="0,5" to="5040,5" strokeweight=".48pt"/>
                  <w10:wrap type="none"/>
                  <w10:anchorlock/>
                </v:group>
              </w:pict>
            </w:r>
          </w:p>
          <w:p w14:paraId="2291BBDA" w14:textId="77777777" w:rsidR="00EA22EB" w:rsidRDefault="004109F6">
            <w:pPr>
              <w:pStyle w:val="TableParagraph"/>
              <w:rPr>
                <w:i/>
                <w:sz w:val="24"/>
              </w:rPr>
            </w:pPr>
            <w:r>
              <w:rPr>
                <w:i/>
                <w:sz w:val="24"/>
              </w:rPr>
              <w:t>Attorneys for Plaintiff</w:t>
            </w:r>
          </w:p>
          <w:p w14:paraId="3BA723B1" w14:textId="77777777" w:rsidR="00AA6CFA" w:rsidRDefault="00AA6CFA">
            <w:pPr>
              <w:pStyle w:val="TableParagraph"/>
              <w:ind w:right="1430"/>
              <w:rPr>
                <w:sz w:val="24"/>
              </w:rPr>
            </w:pPr>
          </w:p>
          <w:p w14:paraId="3639715C" w14:textId="762319F1" w:rsidR="004109F6" w:rsidRDefault="004109F6">
            <w:pPr>
              <w:pStyle w:val="TableParagraph"/>
              <w:ind w:right="1430"/>
              <w:rPr>
                <w:sz w:val="24"/>
              </w:rPr>
            </w:pPr>
            <w:r>
              <w:rPr>
                <w:sz w:val="24"/>
              </w:rPr>
              <w:t>FIRM ADDRESS</w:t>
            </w:r>
          </w:p>
          <w:p w14:paraId="7A9448AD" w14:textId="54BEB1AF" w:rsidR="00EA22EB" w:rsidRDefault="004109F6">
            <w:pPr>
              <w:pStyle w:val="TableParagraph"/>
              <w:ind w:right="1430"/>
              <w:rPr>
                <w:sz w:val="24"/>
              </w:rPr>
            </w:pPr>
            <w:r>
              <w:rPr>
                <w:sz w:val="24"/>
              </w:rPr>
              <w:t>Phone Number:</w:t>
            </w:r>
            <w:r>
              <w:rPr>
                <w:spacing w:val="58"/>
                <w:sz w:val="24"/>
              </w:rPr>
              <w:t xml:space="preserve"> </w:t>
            </w:r>
          </w:p>
          <w:p w14:paraId="25B4FCB3" w14:textId="2A5363BC" w:rsidR="00EA22EB" w:rsidRDefault="004109F6">
            <w:pPr>
              <w:pStyle w:val="TableParagraph"/>
              <w:ind w:right="2303"/>
              <w:rPr>
                <w:sz w:val="24"/>
              </w:rPr>
            </w:pPr>
            <w:r>
              <w:rPr>
                <w:sz w:val="24"/>
              </w:rPr>
              <w:t>Fax Number:</w:t>
            </w:r>
          </w:p>
        </w:tc>
        <w:tc>
          <w:tcPr>
            <w:tcW w:w="3977" w:type="dxa"/>
            <w:tcBorders>
              <w:top w:val="nil"/>
            </w:tcBorders>
          </w:tcPr>
          <w:p w14:paraId="2B4F2F94" w14:textId="77777777" w:rsidR="00EA22EB" w:rsidRDefault="004109F6">
            <w:pPr>
              <w:pStyle w:val="TableParagraph"/>
              <w:spacing w:before="147"/>
              <w:ind w:left="405"/>
              <w:rPr>
                <w:sz w:val="24"/>
              </w:rPr>
            </w:pPr>
            <w:r>
              <w:rPr>
                <w:sz w:val="24"/>
              </w:rPr>
              <w:t>Division/ Courtroom:</w:t>
            </w:r>
          </w:p>
        </w:tc>
      </w:tr>
      <w:tr w:rsidR="00EA22EB" w14:paraId="00BABC30" w14:textId="77777777">
        <w:trPr>
          <w:trHeight w:val="827"/>
        </w:trPr>
        <w:tc>
          <w:tcPr>
            <w:tcW w:w="9577" w:type="dxa"/>
            <w:gridSpan w:val="2"/>
          </w:tcPr>
          <w:p w14:paraId="2D8ACEBD" w14:textId="77777777" w:rsidR="00EA22EB" w:rsidRDefault="00EA22EB">
            <w:pPr>
              <w:pStyle w:val="TableParagraph"/>
              <w:spacing w:before="10"/>
              <w:ind w:left="0"/>
              <w:rPr>
                <w:sz w:val="23"/>
              </w:rPr>
            </w:pPr>
          </w:p>
          <w:p w14:paraId="4129EECB" w14:textId="77777777" w:rsidR="00EA22EB" w:rsidRDefault="004109F6">
            <w:pPr>
              <w:pStyle w:val="TableParagraph"/>
              <w:ind w:left="2070"/>
              <w:rPr>
                <w:b/>
                <w:sz w:val="24"/>
              </w:rPr>
            </w:pPr>
            <w:r>
              <w:rPr>
                <w:b/>
                <w:sz w:val="24"/>
              </w:rPr>
              <w:t>COMPLAINT FOR DECLARATORY JUDGMENT</w:t>
            </w:r>
          </w:p>
        </w:tc>
      </w:tr>
    </w:tbl>
    <w:p w14:paraId="16D23A22" w14:textId="77777777" w:rsidR="00EA22EB" w:rsidRDefault="00EA22EB">
      <w:pPr>
        <w:pStyle w:val="BodyText"/>
        <w:spacing w:before="8"/>
        <w:rPr>
          <w:sz w:val="15"/>
        </w:rPr>
      </w:pPr>
    </w:p>
    <w:p w14:paraId="1A0CE2C7" w14:textId="77777777" w:rsidR="00EA22EB" w:rsidRDefault="004109F6">
      <w:pPr>
        <w:pStyle w:val="BodyText"/>
        <w:spacing w:before="90" w:line="480" w:lineRule="auto"/>
        <w:ind w:left="220" w:right="214" w:firstLine="719"/>
        <w:jc w:val="both"/>
      </w:pPr>
      <w:proofErr w:type="gramStart"/>
      <w:r>
        <w:rPr>
          <w:b/>
        </w:rPr>
        <w:t>COMES  NOW</w:t>
      </w:r>
      <w:proofErr w:type="gramEnd"/>
      <w:r>
        <w:rPr>
          <w:b/>
        </w:rPr>
        <w:t xml:space="preserve">,  </w:t>
      </w:r>
      <w:r>
        <w:t xml:space="preserve">the  Plaintiffs  Gary  Margot,  by  and  through   his   attorney Anderson </w:t>
      </w:r>
      <w:proofErr w:type="spellStart"/>
      <w:r>
        <w:t>Hemmat</w:t>
      </w:r>
      <w:proofErr w:type="spellEnd"/>
      <w:r>
        <w:t>, LLC and for his Complaint for Declaratory Judgment against the Defendants states as</w:t>
      </w:r>
      <w:r>
        <w:rPr>
          <w:spacing w:val="-1"/>
        </w:rPr>
        <w:t xml:space="preserve"> </w:t>
      </w:r>
      <w:r>
        <w:t>follows:</w:t>
      </w:r>
    </w:p>
    <w:p w14:paraId="7B64A2A6" w14:textId="77777777" w:rsidR="00EA22EB" w:rsidRDefault="00EA22EB">
      <w:pPr>
        <w:spacing w:line="480" w:lineRule="auto"/>
        <w:jc w:val="both"/>
        <w:sectPr w:rsidR="00EA22EB">
          <w:footerReference w:type="default" r:id="rId7"/>
          <w:type w:val="continuous"/>
          <w:pgSz w:w="12240" w:h="15840"/>
          <w:pgMar w:top="1500" w:right="1220" w:bottom="960" w:left="1220" w:header="720" w:footer="765" w:gutter="0"/>
          <w:pgNumType w:start="1"/>
          <w:cols w:space="720"/>
        </w:sectPr>
      </w:pPr>
    </w:p>
    <w:p w14:paraId="5EC0C542" w14:textId="77777777" w:rsidR="00EA22EB" w:rsidRDefault="00EA22EB">
      <w:pPr>
        <w:pStyle w:val="BodyText"/>
        <w:rPr>
          <w:sz w:val="20"/>
        </w:rPr>
      </w:pPr>
    </w:p>
    <w:p w14:paraId="245C5C74" w14:textId="77777777" w:rsidR="00EA22EB" w:rsidRDefault="00EA22EB">
      <w:pPr>
        <w:pStyle w:val="BodyText"/>
        <w:spacing w:before="6"/>
        <w:rPr>
          <w:sz w:val="29"/>
        </w:rPr>
      </w:pPr>
    </w:p>
    <w:p w14:paraId="0653A210" w14:textId="77777777" w:rsidR="00EA22EB" w:rsidRDefault="004109F6">
      <w:pPr>
        <w:pStyle w:val="Heading1"/>
        <w:spacing w:before="90"/>
        <w:ind w:left="2707" w:right="0"/>
        <w:jc w:val="left"/>
        <w:rPr>
          <w:u w:val="none"/>
        </w:rPr>
      </w:pPr>
      <w:r>
        <w:rPr>
          <w:u w:val="thick"/>
        </w:rPr>
        <w:t>PARTIES, VENUE AND JURISDICTION</w:t>
      </w:r>
    </w:p>
    <w:p w14:paraId="517D0412" w14:textId="77777777" w:rsidR="00EA22EB" w:rsidRDefault="00EA22EB">
      <w:pPr>
        <w:pStyle w:val="BodyText"/>
        <w:rPr>
          <w:b/>
          <w:sz w:val="20"/>
        </w:rPr>
      </w:pPr>
    </w:p>
    <w:p w14:paraId="44121296" w14:textId="77777777" w:rsidR="00EA22EB" w:rsidRDefault="00EA22EB">
      <w:pPr>
        <w:pStyle w:val="BodyText"/>
        <w:rPr>
          <w:b/>
          <w:sz w:val="20"/>
        </w:rPr>
      </w:pPr>
    </w:p>
    <w:p w14:paraId="045FDB7D" w14:textId="77777777" w:rsidR="00EA22EB" w:rsidRDefault="00EA22EB">
      <w:pPr>
        <w:pStyle w:val="BodyText"/>
        <w:spacing w:before="9"/>
        <w:rPr>
          <w:b/>
          <w:sz w:val="23"/>
        </w:rPr>
      </w:pPr>
    </w:p>
    <w:p w14:paraId="6C73F976" w14:textId="77777777" w:rsidR="00EA22EB" w:rsidRDefault="004109F6">
      <w:pPr>
        <w:pStyle w:val="ListParagraph"/>
        <w:numPr>
          <w:ilvl w:val="0"/>
          <w:numId w:val="3"/>
        </w:numPr>
        <w:tabs>
          <w:tab w:val="left" w:pos="1660"/>
          <w:tab w:val="left" w:pos="1661"/>
        </w:tabs>
        <w:spacing w:before="90" w:line="480" w:lineRule="auto"/>
        <w:ind w:right="265" w:firstLine="720"/>
        <w:rPr>
          <w:sz w:val="24"/>
        </w:rPr>
      </w:pPr>
      <w:r>
        <w:rPr>
          <w:sz w:val="24"/>
        </w:rPr>
        <w:t>At all times relevant hereto, Plaintiff (hereinafter “Plaintiff”) was a resident of the City of Avon, County of Eagle, State of</w:t>
      </w:r>
      <w:r>
        <w:rPr>
          <w:spacing w:val="-13"/>
          <w:sz w:val="24"/>
        </w:rPr>
        <w:t xml:space="preserve"> </w:t>
      </w:r>
      <w:r>
        <w:rPr>
          <w:sz w:val="24"/>
        </w:rPr>
        <w:t>Colorado.</w:t>
      </w:r>
    </w:p>
    <w:p w14:paraId="383626C5" w14:textId="77777777" w:rsidR="00EA22EB" w:rsidRDefault="004109F6">
      <w:pPr>
        <w:pStyle w:val="ListParagraph"/>
        <w:numPr>
          <w:ilvl w:val="0"/>
          <w:numId w:val="3"/>
        </w:numPr>
        <w:tabs>
          <w:tab w:val="left" w:pos="1660"/>
          <w:tab w:val="left" w:pos="1661"/>
        </w:tabs>
        <w:spacing w:line="480" w:lineRule="auto"/>
        <w:ind w:right="266" w:firstLine="720"/>
        <w:rPr>
          <w:sz w:val="24"/>
        </w:rPr>
      </w:pPr>
      <w:r>
        <w:rPr>
          <w:sz w:val="24"/>
        </w:rPr>
        <w:t xml:space="preserve">At all times relevant hereto Defendant </w:t>
      </w:r>
      <w:proofErr w:type="spellStart"/>
      <w:r>
        <w:rPr>
          <w:sz w:val="24"/>
        </w:rPr>
        <w:t>MedPort</w:t>
      </w:r>
      <w:proofErr w:type="spellEnd"/>
      <w:r>
        <w:rPr>
          <w:sz w:val="24"/>
        </w:rPr>
        <w:t xml:space="preserve"> Billing, LLC (hereinafter referred to as “Defendant </w:t>
      </w:r>
      <w:proofErr w:type="spellStart"/>
      <w:r>
        <w:rPr>
          <w:sz w:val="24"/>
        </w:rPr>
        <w:t>MedPort</w:t>
      </w:r>
      <w:proofErr w:type="spellEnd"/>
      <w:r>
        <w:rPr>
          <w:sz w:val="24"/>
        </w:rPr>
        <w:t>”) is a Colorado limited liability</w:t>
      </w:r>
      <w:r>
        <w:rPr>
          <w:spacing w:val="-10"/>
          <w:sz w:val="24"/>
        </w:rPr>
        <w:t xml:space="preserve"> </w:t>
      </w:r>
      <w:r>
        <w:rPr>
          <w:sz w:val="24"/>
        </w:rPr>
        <w:t>company.</w:t>
      </w:r>
    </w:p>
    <w:p w14:paraId="107A13A2" w14:textId="77777777" w:rsidR="00EA22EB" w:rsidRDefault="004109F6">
      <w:pPr>
        <w:pStyle w:val="ListParagraph"/>
        <w:numPr>
          <w:ilvl w:val="0"/>
          <w:numId w:val="3"/>
        </w:numPr>
        <w:tabs>
          <w:tab w:val="left" w:pos="1660"/>
          <w:tab w:val="left" w:pos="1661"/>
        </w:tabs>
        <w:spacing w:line="480" w:lineRule="auto"/>
        <w:ind w:right="429" w:firstLine="720"/>
        <w:rPr>
          <w:sz w:val="24"/>
        </w:rPr>
      </w:pPr>
      <w:r>
        <w:rPr>
          <w:sz w:val="24"/>
        </w:rPr>
        <w:t>At all times relevant hereto Defendant First Commerce Bancshares of</w:t>
      </w:r>
      <w:r>
        <w:rPr>
          <w:spacing w:val="-13"/>
          <w:sz w:val="24"/>
        </w:rPr>
        <w:t xml:space="preserve"> </w:t>
      </w:r>
      <w:r>
        <w:rPr>
          <w:sz w:val="24"/>
        </w:rPr>
        <w:t>Colorado, Inc. (hereinafter referred to as “Defendant First”) is a Colorado</w:t>
      </w:r>
      <w:r>
        <w:rPr>
          <w:spacing w:val="-3"/>
          <w:sz w:val="24"/>
        </w:rPr>
        <w:t xml:space="preserve"> </w:t>
      </w:r>
      <w:r>
        <w:rPr>
          <w:sz w:val="24"/>
        </w:rPr>
        <w:t>corporation.</w:t>
      </w:r>
    </w:p>
    <w:p w14:paraId="364FECF1" w14:textId="77777777" w:rsidR="00EA22EB" w:rsidRDefault="004109F6">
      <w:pPr>
        <w:pStyle w:val="BodyText"/>
        <w:tabs>
          <w:tab w:val="left" w:pos="1660"/>
        </w:tabs>
        <w:spacing w:line="480" w:lineRule="auto"/>
        <w:ind w:left="220" w:right="540" w:firstLine="719"/>
      </w:pPr>
      <w:proofErr w:type="gramStart"/>
      <w:r>
        <w:t>4 .</w:t>
      </w:r>
      <w:proofErr w:type="gramEnd"/>
      <w:r>
        <w:tab/>
        <w:t>Pursuant to C.R.C.P. 98(c), venue is proper in Arapahoe County, State of Colorado, as it is the location of money being held in Plaintiff counsel’s trust account</w:t>
      </w:r>
      <w:r>
        <w:rPr>
          <w:spacing w:val="-13"/>
        </w:rPr>
        <w:t xml:space="preserve"> </w:t>
      </w:r>
      <w:r>
        <w:t>pending the outcome of this</w:t>
      </w:r>
      <w:r>
        <w:rPr>
          <w:spacing w:val="-3"/>
        </w:rPr>
        <w:t xml:space="preserve"> </w:t>
      </w:r>
      <w:r>
        <w:t>action.</w:t>
      </w:r>
    </w:p>
    <w:p w14:paraId="3341B125" w14:textId="77777777" w:rsidR="00EA22EB" w:rsidRDefault="004109F6">
      <w:pPr>
        <w:pStyle w:val="ListParagraph"/>
        <w:numPr>
          <w:ilvl w:val="0"/>
          <w:numId w:val="2"/>
        </w:numPr>
        <w:tabs>
          <w:tab w:val="left" w:pos="1660"/>
          <w:tab w:val="left" w:pos="1661"/>
        </w:tabs>
        <w:spacing w:before="1" w:line="480" w:lineRule="auto"/>
        <w:ind w:right="1083" w:firstLine="720"/>
        <w:rPr>
          <w:sz w:val="24"/>
        </w:rPr>
      </w:pPr>
      <w:r>
        <w:rPr>
          <w:sz w:val="24"/>
        </w:rPr>
        <w:t>This Court has jurisdiction over this Complaint for Declaratory</w:t>
      </w:r>
      <w:r>
        <w:rPr>
          <w:spacing w:val="-14"/>
          <w:sz w:val="24"/>
        </w:rPr>
        <w:t xml:space="preserve"> </w:t>
      </w:r>
      <w:r>
        <w:rPr>
          <w:sz w:val="24"/>
        </w:rPr>
        <w:t xml:space="preserve">Judgment pursuant to C.R.S. § 13-51-101, </w:t>
      </w:r>
      <w:r>
        <w:rPr>
          <w:i/>
          <w:sz w:val="24"/>
        </w:rPr>
        <w:t>et. seq.</w:t>
      </w:r>
      <w:r>
        <w:rPr>
          <w:sz w:val="24"/>
        </w:rPr>
        <w:t>, and C.R.C.P.</w:t>
      </w:r>
      <w:r>
        <w:rPr>
          <w:spacing w:val="-1"/>
          <w:sz w:val="24"/>
        </w:rPr>
        <w:t xml:space="preserve"> </w:t>
      </w:r>
      <w:r>
        <w:rPr>
          <w:sz w:val="24"/>
        </w:rPr>
        <w:t>57.</w:t>
      </w:r>
    </w:p>
    <w:p w14:paraId="7A3598E0" w14:textId="77777777" w:rsidR="00EA22EB" w:rsidRDefault="004109F6">
      <w:pPr>
        <w:pStyle w:val="Heading1"/>
        <w:spacing w:before="5"/>
        <w:rPr>
          <w:u w:val="none"/>
        </w:rPr>
      </w:pPr>
      <w:r>
        <w:rPr>
          <w:u w:val="thick"/>
        </w:rPr>
        <w:t>FACTUAL ALLEGATIONS</w:t>
      </w:r>
    </w:p>
    <w:p w14:paraId="7536D1AB" w14:textId="77777777" w:rsidR="00EA22EB" w:rsidRDefault="00EA22EB">
      <w:pPr>
        <w:pStyle w:val="BodyText"/>
        <w:spacing w:before="9"/>
        <w:rPr>
          <w:b/>
          <w:sz w:val="15"/>
        </w:rPr>
      </w:pPr>
    </w:p>
    <w:p w14:paraId="5316768B" w14:textId="77777777" w:rsidR="00EA22EB" w:rsidRDefault="004109F6">
      <w:pPr>
        <w:pStyle w:val="ListParagraph"/>
        <w:numPr>
          <w:ilvl w:val="0"/>
          <w:numId w:val="2"/>
        </w:numPr>
        <w:tabs>
          <w:tab w:val="left" w:pos="1660"/>
          <w:tab w:val="left" w:pos="1661"/>
        </w:tabs>
        <w:spacing w:before="90" w:line="480" w:lineRule="auto"/>
        <w:ind w:right="1146" w:firstLine="720"/>
        <w:rPr>
          <w:sz w:val="24"/>
        </w:rPr>
      </w:pPr>
      <w:r>
        <w:rPr>
          <w:sz w:val="24"/>
        </w:rPr>
        <w:t xml:space="preserve">Plaintiff incorporates herein by this reference all allegations contained in Paragraphs 1 through 5 of this Complaint, as if set forth </w:t>
      </w:r>
      <w:r>
        <w:rPr>
          <w:i/>
          <w:sz w:val="24"/>
        </w:rPr>
        <w:t>verbatim</w:t>
      </w:r>
      <w:r>
        <w:rPr>
          <w:sz w:val="24"/>
        </w:rPr>
        <w:t>.</w:t>
      </w:r>
    </w:p>
    <w:p w14:paraId="1FCEA237" w14:textId="77777777" w:rsidR="00EA22EB" w:rsidRDefault="004109F6">
      <w:pPr>
        <w:pStyle w:val="ListParagraph"/>
        <w:numPr>
          <w:ilvl w:val="0"/>
          <w:numId w:val="2"/>
        </w:numPr>
        <w:tabs>
          <w:tab w:val="left" w:pos="1660"/>
          <w:tab w:val="left" w:pos="1661"/>
        </w:tabs>
        <w:spacing w:line="480" w:lineRule="auto"/>
        <w:ind w:right="641" w:firstLine="720"/>
        <w:rPr>
          <w:sz w:val="24"/>
        </w:rPr>
      </w:pPr>
      <w:r>
        <w:rPr>
          <w:sz w:val="24"/>
        </w:rPr>
        <w:t>On May 26, 2017 Plaintiff suffered physical injuries as a direct and</w:t>
      </w:r>
      <w:r>
        <w:rPr>
          <w:spacing w:val="-15"/>
          <w:sz w:val="24"/>
        </w:rPr>
        <w:t xml:space="preserve"> </w:t>
      </w:r>
      <w:r>
        <w:rPr>
          <w:sz w:val="24"/>
        </w:rPr>
        <w:t>proximate result of a motor vehicle accident caused by Tracy</w:t>
      </w:r>
      <w:r>
        <w:rPr>
          <w:spacing w:val="-8"/>
          <w:sz w:val="24"/>
        </w:rPr>
        <w:t xml:space="preserve"> </w:t>
      </w:r>
      <w:r>
        <w:rPr>
          <w:sz w:val="24"/>
        </w:rPr>
        <w:t>Vigil.</w:t>
      </w:r>
    </w:p>
    <w:p w14:paraId="5531EB26" w14:textId="77777777" w:rsidR="00EA22EB" w:rsidRDefault="004109F6">
      <w:pPr>
        <w:pStyle w:val="ListParagraph"/>
        <w:numPr>
          <w:ilvl w:val="0"/>
          <w:numId w:val="1"/>
        </w:numPr>
        <w:tabs>
          <w:tab w:val="left" w:pos="1660"/>
          <w:tab w:val="left" w:pos="1661"/>
        </w:tabs>
        <w:spacing w:line="480" w:lineRule="auto"/>
        <w:ind w:right="268" w:firstLine="720"/>
        <w:rPr>
          <w:sz w:val="24"/>
        </w:rPr>
      </w:pPr>
      <w:r>
        <w:rPr>
          <w:sz w:val="24"/>
        </w:rPr>
        <w:t>On this same date, Plaintiff treated for his injuries sustained in the accident at the emergency room at Vail Valley Medical Center. Plaintiff also underwent two additional visits</w:t>
      </w:r>
      <w:r>
        <w:rPr>
          <w:spacing w:val="-19"/>
          <w:sz w:val="24"/>
        </w:rPr>
        <w:t xml:space="preserve"> </w:t>
      </w:r>
      <w:r>
        <w:rPr>
          <w:sz w:val="24"/>
        </w:rPr>
        <w:t>to the emergency room at Vail Valley Medical</w:t>
      </w:r>
      <w:r>
        <w:rPr>
          <w:spacing w:val="-11"/>
          <w:sz w:val="24"/>
        </w:rPr>
        <w:t xml:space="preserve"> </w:t>
      </w:r>
      <w:r>
        <w:rPr>
          <w:sz w:val="24"/>
        </w:rPr>
        <w:t>Center.</w:t>
      </w:r>
    </w:p>
    <w:p w14:paraId="77170278" w14:textId="77777777" w:rsidR="00EA22EB" w:rsidRDefault="00EA22EB">
      <w:pPr>
        <w:spacing w:line="480" w:lineRule="auto"/>
        <w:rPr>
          <w:sz w:val="24"/>
        </w:rPr>
        <w:sectPr w:rsidR="00EA22EB">
          <w:pgSz w:w="12240" w:h="15840"/>
          <w:pgMar w:top="1500" w:right="1220" w:bottom="960" w:left="1220" w:header="0" w:footer="765" w:gutter="0"/>
          <w:cols w:space="720"/>
        </w:sectPr>
      </w:pPr>
    </w:p>
    <w:p w14:paraId="48C6A47D" w14:textId="77777777" w:rsidR="00EA22EB" w:rsidRDefault="00EA22EB">
      <w:pPr>
        <w:pStyle w:val="BodyText"/>
        <w:rPr>
          <w:sz w:val="20"/>
        </w:rPr>
      </w:pPr>
    </w:p>
    <w:p w14:paraId="07A122A9" w14:textId="77777777" w:rsidR="00EA22EB" w:rsidRDefault="00EA22EB">
      <w:pPr>
        <w:pStyle w:val="BodyText"/>
        <w:spacing w:before="1"/>
        <w:rPr>
          <w:sz w:val="29"/>
        </w:rPr>
      </w:pPr>
    </w:p>
    <w:p w14:paraId="4BBB594D" w14:textId="77777777" w:rsidR="00EA22EB" w:rsidRDefault="004109F6">
      <w:pPr>
        <w:pStyle w:val="ListParagraph"/>
        <w:numPr>
          <w:ilvl w:val="0"/>
          <w:numId w:val="1"/>
        </w:numPr>
        <w:tabs>
          <w:tab w:val="left" w:pos="1660"/>
          <w:tab w:val="left" w:pos="1661"/>
        </w:tabs>
        <w:spacing w:before="90" w:line="480" w:lineRule="auto"/>
        <w:ind w:right="621" w:firstLine="720"/>
        <w:rPr>
          <w:sz w:val="24"/>
        </w:rPr>
      </w:pPr>
      <w:proofErr w:type="gramStart"/>
      <w:r>
        <w:rPr>
          <w:sz w:val="24"/>
        </w:rPr>
        <w:t>Plaintiff</w:t>
      </w:r>
      <w:proofErr w:type="gramEnd"/>
      <w:r>
        <w:rPr>
          <w:sz w:val="24"/>
        </w:rPr>
        <w:t xml:space="preserve"> thereafter, sought additional medical treatment from CROM,</w:t>
      </w:r>
      <w:r>
        <w:rPr>
          <w:spacing w:val="-12"/>
          <w:sz w:val="24"/>
        </w:rPr>
        <w:t xml:space="preserve"> </w:t>
      </w:r>
      <w:r>
        <w:rPr>
          <w:sz w:val="24"/>
        </w:rPr>
        <w:t>Uptown Brain Injury &amp; Pain Management, Health Images, Amazing Brains and Broadway Plastic Surgery.</w:t>
      </w:r>
    </w:p>
    <w:p w14:paraId="6D5DC9BE" w14:textId="77777777" w:rsidR="00EA22EB" w:rsidRDefault="004109F6">
      <w:pPr>
        <w:pStyle w:val="ListParagraph"/>
        <w:numPr>
          <w:ilvl w:val="0"/>
          <w:numId w:val="1"/>
        </w:numPr>
        <w:tabs>
          <w:tab w:val="left" w:pos="1660"/>
          <w:tab w:val="left" w:pos="1661"/>
        </w:tabs>
        <w:ind w:left="1660"/>
        <w:rPr>
          <w:sz w:val="24"/>
        </w:rPr>
      </w:pPr>
      <w:r>
        <w:rPr>
          <w:sz w:val="24"/>
        </w:rPr>
        <w:t>Defendant First bought the bill from Vail Valley Medical</w:t>
      </w:r>
      <w:r>
        <w:rPr>
          <w:spacing w:val="-7"/>
          <w:sz w:val="24"/>
        </w:rPr>
        <w:t xml:space="preserve"> </w:t>
      </w:r>
      <w:r>
        <w:rPr>
          <w:sz w:val="24"/>
        </w:rPr>
        <w:t>Center.</w:t>
      </w:r>
    </w:p>
    <w:p w14:paraId="42117802" w14:textId="77777777" w:rsidR="00EA22EB" w:rsidRDefault="00EA22EB">
      <w:pPr>
        <w:pStyle w:val="BodyText"/>
      </w:pPr>
    </w:p>
    <w:p w14:paraId="3335B37A" w14:textId="77777777" w:rsidR="00EA22EB" w:rsidRDefault="004109F6">
      <w:pPr>
        <w:pStyle w:val="ListParagraph"/>
        <w:numPr>
          <w:ilvl w:val="0"/>
          <w:numId w:val="1"/>
        </w:numPr>
        <w:tabs>
          <w:tab w:val="left" w:pos="1660"/>
          <w:tab w:val="left" w:pos="1661"/>
        </w:tabs>
        <w:spacing w:line="480" w:lineRule="auto"/>
        <w:ind w:right="634" w:firstLine="720"/>
        <w:rPr>
          <w:sz w:val="24"/>
        </w:rPr>
      </w:pPr>
      <w:r>
        <w:rPr>
          <w:sz w:val="24"/>
        </w:rPr>
        <w:t xml:space="preserve">Defendant </w:t>
      </w:r>
      <w:proofErr w:type="spellStart"/>
      <w:r>
        <w:rPr>
          <w:sz w:val="24"/>
        </w:rPr>
        <w:t>MedPort</w:t>
      </w:r>
      <w:proofErr w:type="spellEnd"/>
      <w:r>
        <w:rPr>
          <w:sz w:val="24"/>
        </w:rPr>
        <w:t xml:space="preserve"> financed the medical treatment Plaintiff incurred with CROM, Uptown Injury &amp; Pain Management, Health Images, Amazing Brains and</w:t>
      </w:r>
      <w:r>
        <w:rPr>
          <w:spacing w:val="-14"/>
          <w:sz w:val="24"/>
        </w:rPr>
        <w:t xml:space="preserve"> </w:t>
      </w:r>
      <w:r>
        <w:rPr>
          <w:sz w:val="24"/>
        </w:rPr>
        <w:t>Broadway Plastic</w:t>
      </w:r>
      <w:r>
        <w:rPr>
          <w:spacing w:val="-1"/>
          <w:sz w:val="24"/>
        </w:rPr>
        <w:t xml:space="preserve"> </w:t>
      </w:r>
      <w:r>
        <w:rPr>
          <w:sz w:val="24"/>
        </w:rPr>
        <w:t>Surgery.</w:t>
      </w:r>
    </w:p>
    <w:p w14:paraId="2E33257D" w14:textId="77777777" w:rsidR="00EA22EB" w:rsidRDefault="004109F6">
      <w:pPr>
        <w:pStyle w:val="ListParagraph"/>
        <w:numPr>
          <w:ilvl w:val="0"/>
          <w:numId w:val="1"/>
        </w:numPr>
        <w:tabs>
          <w:tab w:val="left" w:pos="1660"/>
          <w:tab w:val="left" w:pos="1661"/>
        </w:tabs>
        <w:spacing w:before="1" w:line="480" w:lineRule="auto"/>
        <w:ind w:right="281" w:firstLine="720"/>
        <w:rPr>
          <w:sz w:val="24"/>
        </w:rPr>
      </w:pPr>
      <w:r>
        <w:rPr>
          <w:sz w:val="24"/>
        </w:rPr>
        <w:t xml:space="preserve">Defendant Injury financed medical treatment Plaintiff Rebecca </w:t>
      </w:r>
      <w:proofErr w:type="spellStart"/>
      <w:r>
        <w:rPr>
          <w:sz w:val="24"/>
        </w:rPr>
        <w:t>Valtierra</w:t>
      </w:r>
      <w:proofErr w:type="spellEnd"/>
      <w:r>
        <w:rPr>
          <w:sz w:val="24"/>
        </w:rPr>
        <w:t xml:space="preserve"> underwent at CROM (two visits for physical medicine and rehabilitation) and Mountain Spine</w:t>
      </w:r>
      <w:r>
        <w:rPr>
          <w:spacing w:val="-13"/>
          <w:sz w:val="24"/>
        </w:rPr>
        <w:t xml:space="preserve"> </w:t>
      </w:r>
      <w:r>
        <w:rPr>
          <w:sz w:val="24"/>
        </w:rPr>
        <w:t>&amp; Pain Physicians (four visits including two sets of injections) and charged Plaintiff in excess</w:t>
      </w:r>
      <w:r>
        <w:rPr>
          <w:spacing w:val="-13"/>
          <w:sz w:val="24"/>
        </w:rPr>
        <w:t xml:space="preserve"> </w:t>
      </w:r>
      <w:r>
        <w:rPr>
          <w:sz w:val="24"/>
        </w:rPr>
        <w:t>of</w:t>
      </w:r>
    </w:p>
    <w:p w14:paraId="7B3201E6" w14:textId="77777777" w:rsidR="00EA22EB" w:rsidRDefault="004109F6">
      <w:pPr>
        <w:pStyle w:val="BodyText"/>
        <w:ind w:left="220"/>
      </w:pPr>
      <w:r>
        <w:t>$7,000 for those services.</w:t>
      </w:r>
    </w:p>
    <w:p w14:paraId="487FDE6C" w14:textId="77777777" w:rsidR="00EA22EB" w:rsidRDefault="00EA22EB">
      <w:pPr>
        <w:pStyle w:val="BodyText"/>
      </w:pPr>
    </w:p>
    <w:p w14:paraId="6C84B777" w14:textId="77777777" w:rsidR="00EA22EB" w:rsidRDefault="004109F6">
      <w:pPr>
        <w:pStyle w:val="ListParagraph"/>
        <w:numPr>
          <w:ilvl w:val="0"/>
          <w:numId w:val="1"/>
        </w:numPr>
        <w:tabs>
          <w:tab w:val="left" w:pos="1660"/>
          <w:tab w:val="left" w:pos="1661"/>
        </w:tabs>
        <w:spacing w:before="1" w:line="480" w:lineRule="auto"/>
        <w:ind w:right="293" w:firstLine="720"/>
        <w:rPr>
          <w:sz w:val="24"/>
        </w:rPr>
      </w:pPr>
      <w:r>
        <w:rPr>
          <w:sz w:val="24"/>
        </w:rPr>
        <w:t>The amounts Defendants are claiming as “liens” are not reasonable and necessary charges and are in excess of the customary rate for similar</w:t>
      </w:r>
      <w:r>
        <w:rPr>
          <w:spacing w:val="-6"/>
          <w:sz w:val="24"/>
        </w:rPr>
        <w:t xml:space="preserve"> </w:t>
      </w:r>
      <w:r>
        <w:rPr>
          <w:sz w:val="24"/>
        </w:rPr>
        <w:t>services.</w:t>
      </w:r>
    </w:p>
    <w:p w14:paraId="3A7F2F17" w14:textId="77777777" w:rsidR="00EA22EB" w:rsidRDefault="00EA22EB">
      <w:pPr>
        <w:pStyle w:val="BodyText"/>
        <w:spacing w:before="4"/>
      </w:pPr>
    </w:p>
    <w:p w14:paraId="3C3E5DB2" w14:textId="77777777" w:rsidR="00EA22EB" w:rsidRDefault="004109F6">
      <w:pPr>
        <w:pStyle w:val="Heading1"/>
        <w:rPr>
          <w:u w:val="none"/>
        </w:rPr>
      </w:pPr>
      <w:r>
        <w:rPr>
          <w:u w:val="thick"/>
        </w:rPr>
        <w:t>FIRST CLAIM FOR RELIEF</w:t>
      </w:r>
    </w:p>
    <w:p w14:paraId="3F9D556C" w14:textId="77777777" w:rsidR="00EA22EB" w:rsidRDefault="004109F6">
      <w:pPr>
        <w:ind w:left="3323" w:right="3323"/>
        <w:jc w:val="center"/>
        <w:rPr>
          <w:b/>
          <w:sz w:val="24"/>
        </w:rPr>
      </w:pPr>
      <w:r>
        <w:rPr>
          <w:b/>
          <w:sz w:val="24"/>
        </w:rPr>
        <w:t>Declaratory Judgment</w:t>
      </w:r>
    </w:p>
    <w:p w14:paraId="11E2EF52" w14:textId="77777777" w:rsidR="00EA22EB" w:rsidRDefault="00EA22EB">
      <w:pPr>
        <w:pStyle w:val="BodyText"/>
        <w:rPr>
          <w:b/>
          <w:sz w:val="26"/>
        </w:rPr>
      </w:pPr>
    </w:p>
    <w:p w14:paraId="4A03E385" w14:textId="77777777" w:rsidR="00EA22EB" w:rsidRDefault="00EA22EB">
      <w:pPr>
        <w:pStyle w:val="BodyText"/>
        <w:spacing w:before="7"/>
        <w:rPr>
          <w:b/>
          <w:sz w:val="21"/>
        </w:rPr>
      </w:pPr>
    </w:p>
    <w:p w14:paraId="123C5124" w14:textId="77777777" w:rsidR="00EA22EB" w:rsidRDefault="004109F6">
      <w:pPr>
        <w:pStyle w:val="ListParagraph"/>
        <w:numPr>
          <w:ilvl w:val="0"/>
          <w:numId w:val="1"/>
        </w:numPr>
        <w:tabs>
          <w:tab w:val="left" w:pos="1660"/>
          <w:tab w:val="left" w:pos="1661"/>
        </w:tabs>
        <w:spacing w:line="480" w:lineRule="auto"/>
        <w:ind w:right="390" w:firstLine="720"/>
        <w:rPr>
          <w:sz w:val="24"/>
        </w:rPr>
      </w:pPr>
      <w:r>
        <w:rPr>
          <w:sz w:val="24"/>
        </w:rPr>
        <w:t>Plaintiff seeks a declaratory judgment based on the reasonable determination of usual and customary charges by medical professionals for the medical care provided to</w:t>
      </w:r>
      <w:r>
        <w:rPr>
          <w:spacing w:val="-16"/>
          <w:sz w:val="24"/>
        </w:rPr>
        <w:t xml:space="preserve"> </w:t>
      </w:r>
      <w:r>
        <w:rPr>
          <w:sz w:val="24"/>
        </w:rPr>
        <w:t>Plaintiff in accordance with C.R.C.P. Rule 57(b).</w:t>
      </w:r>
    </w:p>
    <w:p w14:paraId="2F01942B" w14:textId="77777777" w:rsidR="00EA22EB" w:rsidRDefault="004109F6">
      <w:pPr>
        <w:pStyle w:val="ListParagraph"/>
        <w:numPr>
          <w:ilvl w:val="0"/>
          <w:numId w:val="1"/>
        </w:numPr>
        <w:tabs>
          <w:tab w:val="left" w:pos="1660"/>
          <w:tab w:val="left" w:pos="1661"/>
        </w:tabs>
        <w:spacing w:before="1"/>
        <w:ind w:left="1660"/>
        <w:rPr>
          <w:sz w:val="24"/>
        </w:rPr>
      </w:pPr>
      <w:r>
        <w:rPr>
          <w:sz w:val="24"/>
        </w:rPr>
        <w:t>Plaintiff is an interested party consistent with C.R.C.P.</w:t>
      </w:r>
      <w:r>
        <w:rPr>
          <w:spacing w:val="-3"/>
          <w:sz w:val="24"/>
        </w:rPr>
        <w:t xml:space="preserve"> </w:t>
      </w:r>
      <w:r>
        <w:rPr>
          <w:sz w:val="24"/>
        </w:rPr>
        <w:t>57(d).</w:t>
      </w:r>
    </w:p>
    <w:p w14:paraId="6A9DF109" w14:textId="77777777" w:rsidR="00EA22EB" w:rsidRDefault="00EA22EB">
      <w:pPr>
        <w:pStyle w:val="BodyText"/>
      </w:pPr>
    </w:p>
    <w:p w14:paraId="4834E80C" w14:textId="77777777" w:rsidR="00EA22EB" w:rsidRDefault="004109F6">
      <w:pPr>
        <w:pStyle w:val="ListParagraph"/>
        <w:numPr>
          <w:ilvl w:val="0"/>
          <w:numId w:val="1"/>
        </w:numPr>
        <w:tabs>
          <w:tab w:val="left" w:pos="1660"/>
          <w:tab w:val="left" w:pos="1661"/>
        </w:tabs>
        <w:spacing w:line="480" w:lineRule="auto"/>
        <w:ind w:right="234" w:firstLine="720"/>
        <w:rPr>
          <w:sz w:val="24"/>
        </w:rPr>
      </w:pPr>
      <w:r>
        <w:rPr>
          <w:sz w:val="24"/>
        </w:rPr>
        <w:t>Accordingly, Plaintiff prays for a declaratory judgment of the appropriate value of the medical</w:t>
      </w:r>
      <w:r>
        <w:rPr>
          <w:spacing w:val="-1"/>
          <w:sz w:val="24"/>
        </w:rPr>
        <w:t xml:space="preserve"> </w:t>
      </w:r>
      <w:r>
        <w:rPr>
          <w:sz w:val="24"/>
        </w:rPr>
        <w:t>expenses.</w:t>
      </w:r>
    </w:p>
    <w:p w14:paraId="30B6DEEA" w14:textId="77777777" w:rsidR="00EA22EB" w:rsidRDefault="004109F6">
      <w:pPr>
        <w:pStyle w:val="BodyText"/>
        <w:ind w:left="940"/>
      </w:pPr>
      <w:r>
        <w:t>WHEREFORE, Plaintiff prays for relief all is as more particularly hereinafter set forth.</w:t>
      </w:r>
    </w:p>
    <w:p w14:paraId="72928694" w14:textId="77777777" w:rsidR="00EA22EB" w:rsidRDefault="00EA22EB">
      <w:pPr>
        <w:sectPr w:rsidR="00EA22EB">
          <w:pgSz w:w="12240" w:h="15840"/>
          <w:pgMar w:top="1500" w:right="1220" w:bottom="960" w:left="1220" w:header="0" w:footer="765" w:gutter="0"/>
          <w:cols w:space="720"/>
        </w:sectPr>
      </w:pPr>
    </w:p>
    <w:p w14:paraId="7A41D838" w14:textId="77777777" w:rsidR="00EA22EB" w:rsidRDefault="00EA22EB">
      <w:pPr>
        <w:pStyle w:val="BodyText"/>
        <w:rPr>
          <w:sz w:val="20"/>
        </w:rPr>
      </w:pPr>
    </w:p>
    <w:p w14:paraId="4B10D14E" w14:textId="77777777" w:rsidR="00EA22EB" w:rsidRDefault="00EA22EB">
      <w:pPr>
        <w:pStyle w:val="BodyText"/>
        <w:spacing w:before="1"/>
        <w:rPr>
          <w:sz w:val="29"/>
        </w:rPr>
      </w:pPr>
    </w:p>
    <w:p w14:paraId="5F3A8C01" w14:textId="77777777" w:rsidR="00EA22EB" w:rsidRDefault="004109F6">
      <w:pPr>
        <w:pStyle w:val="BodyText"/>
        <w:spacing w:before="90" w:line="480" w:lineRule="auto"/>
        <w:ind w:left="220" w:right="255" w:firstLine="719"/>
      </w:pPr>
      <w:r>
        <w:t>WHEREFORE, Plaintiff requests that this Court Order to determine what, if any, outstanding charges are or should be Plaintiff’s responsibility consistent with Rule 57 for ultimate declaratory relief and for such other and further relief as to the Court appears proper in</w:t>
      </w:r>
    </w:p>
    <w:p w14:paraId="6419E711" w14:textId="77777777" w:rsidR="00EA22EB" w:rsidRDefault="00EA22EB">
      <w:pPr>
        <w:spacing w:line="480" w:lineRule="auto"/>
        <w:sectPr w:rsidR="00EA22EB">
          <w:pgSz w:w="12240" w:h="15840"/>
          <w:pgMar w:top="1500" w:right="1220" w:bottom="960" w:left="1220" w:header="0" w:footer="765" w:gutter="0"/>
          <w:cols w:space="720"/>
        </w:sectPr>
      </w:pPr>
    </w:p>
    <w:p w14:paraId="50C255CF" w14:textId="77777777" w:rsidR="00EA22EB" w:rsidRDefault="004109F6">
      <w:pPr>
        <w:pStyle w:val="BodyText"/>
        <w:ind w:left="220"/>
      </w:pPr>
      <w:r>
        <w:t xml:space="preserve">the </w:t>
      </w:r>
      <w:r>
        <w:rPr>
          <w:spacing w:val="-3"/>
        </w:rPr>
        <w:t>premises.</w:t>
      </w:r>
    </w:p>
    <w:p w14:paraId="4A62CFD9" w14:textId="77777777" w:rsidR="00EA22EB" w:rsidRDefault="004109F6">
      <w:pPr>
        <w:pStyle w:val="BodyText"/>
        <w:rPr>
          <w:sz w:val="28"/>
        </w:rPr>
      </w:pPr>
      <w:r>
        <w:br w:type="column"/>
      </w:r>
    </w:p>
    <w:p w14:paraId="4BCC9604" w14:textId="77777777" w:rsidR="00EA22EB" w:rsidRDefault="004109F6">
      <w:pPr>
        <w:pStyle w:val="BodyText"/>
        <w:spacing w:before="215"/>
        <w:ind w:left="135"/>
      </w:pPr>
      <w:r>
        <w:t>Respectfully submitted this 15</w:t>
      </w:r>
      <w:proofErr w:type="spellStart"/>
      <w:r>
        <w:rPr>
          <w:position w:val="9"/>
          <w:sz w:val="16"/>
        </w:rPr>
        <w:t>th</w:t>
      </w:r>
      <w:proofErr w:type="spellEnd"/>
      <w:r>
        <w:rPr>
          <w:position w:val="9"/>
          <w:sz w:val="16"/>
        </w:rPr>
        <w:t xml:space="preserve"> </w:t>
      </w:r>
      <w:r>
        <w:t xml:space="preserve">day of </w:t>
      </w:r>
      <w:proofErr w:type="gramStart"/>
      <w:r>
        <w:t>May,</w:t>
      </w:r>
      <w:proofErr w:type="gramEnd"/>
      <w:r>
        <w:t xml:space="preserve"> 2018.</w:t>
      </w:r>
    </w:p>
    <w:p w14:paraId="02A3FDA9" w14:textId="77777777" w:rsidR="00EA22EB" w:rsidRDefault="00EA22EB">
      <w:pPr>
        <w:pStyle w:val="BodyText"/>
      </w:pPr>
    </w:p>
    <w:p w14:paraId="6846E694" w14:textId="4BE1C98D" w:rsidR="00EA22EB" w:rsidRDefault="004109F6">
      <w:pPr>
        <w:pStyle w:val="BodyText"/>
        <w:ind w:left="3016"/>
      </w:pPr>
      <w:r>
        <w:t>Firm Name</w:t>
      </w:r>
    </w:p>
    <w:p w14:paraId="03089FBA" w14:textId="061AF454" w:rsidR="00EA22EB" w:rsidRDefault="004109F6">
      <w:pPr>
        <w:spacing w:before="2"/>
        <w:ind w:left="2996" w:right="3671"/>
        <w:jc w:val="center"/>
        <w:rPr>
          <w:i/>
          <w:sz w:val="20"/>
        </w:rPr>
      </w:pPr>
      <w:r>
        <w:rPr>
          <w:i/>
          <w:sz w:val="20"/>
        </w:rPr>
        <w:t xml:space="preserve">s/Lawyer Name </w:t>
      </w:r>
    </w:p>
    <w:p w14:paraId="7CE45285" w14:textId="77777777" w:rsidR="00EA22EB" w:rsidRDefault="00EA22EB">
      <w:pPr>
        <w:jc w:val="center"/>
        <w:rPr>
          <w:sz w:val="20"/>
        </w:rPr>
        <w:sectPr w:rsidR="00EA22EB">
          <w:type w:val="continuous"/>
          <w:pgSz w:w="12240" w:h="15840"/>
          <w:pgMar w:top="1500" w:right="1220" w:bottom="960" w:left="1220" w:header="720" w:footer="720" w:gutter="0"/>
          <w:cols w:num="2" w:space="720" w:equalWidth="0">
            <w:col w:w="1485" w:space="40"/>
            <w:col w:w="8275"/>
          </w:cols>
        </w:sectPr>
      </w:pPr>
    </w:p>
    <w:p w14:paraId="5E3EC21C" w14:textId="77777777" w:rsidR="00EA22EB" w:rsidRDefault="00EA22EB">
      <w:pPr>
        <w:pStyle w:val="BodyText"/>
        <w:spacing w:after="1"/>
        <w:rPr>
          <w:i/>
          <w:sz w:val="23"/>
        </w:rPr>
      </w:pPr>
    </w:p>
    <w:p w14:paraId="28A99E70" w14:textId="77777777" w:rsidR="00EA22EB" w:rsidRDefault="00AA6CFA">
      <w:pPr>
        <w:pStyle w:val="BodyText"/>
        <w:spacing w:line="20" w:lineRule="exact"/>
        <w:ind w:left="4536"/>
        <w:rPr>
          <w:sz w:val="2"/>
        </w:rPr>
      </w:pPr>
      <w:r>
        <w:rPr>
          <w:sz w:val="2"/>
        </w:rPr>
      </w:r>
      <w:r>
        <w:rPr>
          <w:sz w:val="2"/>
        </w:rPr>
        <w:pict w14:anchorId="766D1140">
          <v:group id="_x0000_s1026" style="width:210pt;height:.5pt;mso-position-horizontal-relative:char;mso-position-vertical-relative:line" coordsize="4200,10">
            <v:line id="_x0000_s1027" style="position:absolute" from="0,5" to="4200,5" strokeweight=".48pt"/>
            <w10:anchorlock/>
          </v:group>
        </w:pict>
      </w:r>
    </w:p>
    <w:p w14:paraId="0DA44BEC" w14:textId="13C840CB" w:rsidR="004109F6" w:rsidRDefault="004109F6">
      <w:pPr>
        <w:pStyle w:val="BodyText"/>
        <w:ind w:left="4541" w:right="2206"/>
      </w:pPr>
      <w:r>
        <w:t xml:space="preserve">Attorney Name and ABA Number </w:t>
      </w:r>
    </w:p>
    <w:p w14:paraId="0E30089B" w14:textId="295A70C0" w:rsidR="00EA22EB" w:rsidRDefault="004109F6">
      <w:pPr>
        <w:pStyle w:val="BodyText"/>
        <w:ind w:left="4541" w:right="2206"/>
      </w:pPr>
      <w:r>
        <w:t>Attorneys for Plaintiff</w:t>
      </w:r>
    </w:p>
    <w:p w14:paraId="63C6D495" w14:textId="77777777" w:rsidR="00EA22EB" w:rsidRDefault="00EA22EB">
      <w:pPr>
        <w:pStyle w:val="BodyText"/>
        <w:rPr>
          <w:sz w:val="20"/>
        </w:rPr>
      </w:pPr>
    </w:p>
    <w:p w14:paraId="5DD653C2" w14:textId="77777777" w:rsidR="00EA22EB" w:rsidRDefault="00EA22EB">
      <w:pPr>
        <w:pStyle w:val="BodyText"/>
        <w:rPr>
          <w:sz w:val="20"/>
        </w:rPr>
      </w:pPr>
    </w:p>
    <w:p w14:paraId="02582E72" w14:textId="77777777" w:rsidR="00EA22EB" w:rsidRDefault="00EA22EB">
      <w:pPr>
        <w:pStyle w:val="BodyText"/>
        <w:rPr>
          <w:sz w:val="20"/>
        </w:rPr>
      </w:pPr>
      <w:bookmarkStart w:id="0" w:name="_GoBack"/>
      <w:bookmarkEnd w:id="0"/>
    </w:p>
    <w:p w14:paraId="0BFA6D49" w14:textId="77777777" w:rsidR="00EA22EB" w:rsidRDefault="00EA22EB">
      <w:pPr>
        <w:pStyle w:val="BodyText"/>
        <w:spacing w:before="3"/>
        <w:rPr>
          <w:sz w:val="27"/>
        </w:rPr>
      </w:pPr>
    </w:p>
    <w:p w14:paraId="213F40E5" w14:textId="77777777" w:rsidR="00EA22EB" w:rsidRDefault="004109F6">
      <w:pPr>
        <w:pStyle w:val="BodyText"/>
        <w:spacing w:before="90"/>
        <w:ind w:left="940"/>
      </w:pPr>
      <w:r>
        <w:rPr>
          <w:spacing w:val="-60"/>
          <w:u w:val="single"/>
        </w:rPr>
        <w:t xml:space="preserve"> </w:t>
      </w:r>
      <w:r>
        <w:rPr>
          <w:u w:val="single"/>
        </w:rPr>
        <w:t>Plaintiff’s Address</w:t>
      </w:r>
      <w:r>
        <w:t>:</w:t>
      </w:r>
    </w:p>
    <w:p w14:paraId="12A96495" w14:textId="77777777" w:rsidR="00EA22EB" w:rsidRDefault="00EA22EB">
      <w:pPr>
        <w:pStyle w:val="BodyText"/>
        <w:spacing w:before="3"/>
        <w:rPr>
          <w:sz w:val="16"/>
        </w:rPr>
      </w:pPr>
    </w:p>
    <w:p w14:paraId="7A667A4D" w14:textId="046A679E" w:rsidR="00EA22EB" w:rsidRDefault="00EA22EB">
      <w:pPr>
        <w:pStyle w:val="BodyText"/>
        <w:ind w:left="940"/>
      </w:pPr>
    </w:p>
    <w:sectPr w:rsidR="00EA22EB">
      <w:type w:val="continuous"/>
      <w:pgSz w:w="12240" w:h="15840"/>
      <w:pgMar w:top="1500" w:right="1220" w:bottom="96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A505D" w14:textId="77777777" w:rsidR="00290E71" w:rsidRDefault="004109F6">
      <w:r>
        <w:separator/>
      </w:r>
    </w:p>
  </w:endnote>
  <w:endnote w:type="continuationSeparator" w:id="0">
    <w:p w14:paraId="29E1F2A5" w14:textId="77777777" w:rsidR="00290E71" w:rsidRDefault="0041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altName w:val="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03FBE" w14:textId="77777777" w:rsidR="00EA22EB" w:rsidRDefault="00AA6CFA">
    <w:pPr>
      <w:pStyle w:val="BodyText"/>
      <w:spacing w:line="14" w:lineRule="auto"/>
      <w:rPr>
        <w:sz w:val="20"/>
      </w:rPr>
    </w:pPr>
    <w:r>
      <w:pict w14:anchorId="390BB38F">
        <v:shapetype id="_x0000_t202" coordsize="21600,21600" o:spt="202" path="m,l,21600r21600,l21600,xe">
          <v:stroke joinstyle="miter"/>
          <v:path gradientshapeok="t" o:connecttype="rect"/>
        </v:shapetype>
        <v:shape id="_x0000_s2049" type="#_x0000_t202" style="position:absolute;margin-left:300.95pt;margin-top:742.75pt;width:10.15pt;height:14.35pt;z-index:-251658752;mso-position-horizontal-relative:page;mso-position-vertical-relative:page" filled="f" stroked="f">
          <v:textbox inset="0,0,0,0">
            <w:txbxContent>
              <w:p w14:paraId="10F43BA5" w14:textId="77777777" w:rsidR="00EA22EB" w:rsidRDefault="004109F6">
                <w:pPr>
                  <w:spacing w:before="13"/>
                  <w:ind w:left="4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BCE91" w14:textId="77777777" w:rsidR="00290E71" w:rsidRDefault="004109F6">
      <w:r>
        <w:separator/>
      </w:r>
    </w:p>
  </w:footnote>
  <w:footnote w:type="continuationSeparator" w:id="0">
    <w:p w14:paraId="3B7F06EF" w14:textId="77777777" w:rsidR="00290E71" w:rsidRDefault="00410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5F5"/>
    <w:multiLevelType w:val="hybridMultilevel"/>
    <w:tmpl w:val="62DCFC36"/>
    <w:lvl w:ilvl="0" w:tplc="40B0FE24">
      <w:start w:val="5"/>
      <w:numFmt w:val="decimal"/>
      <w:lvlText w:val="%1."/>
      <w:lvlJc w:val="left"/>
      <w:pPr>
        <w:ind w:left="220" w:hanging="720"/>
        <w:jc w:val="left"/>
      </w:pPr>
      <w:rPr>
        <w:rFonts w:ascii="Times New Roman" w:eastAsia="Times New Roman" w:hAnsi="Times New Roman" w:cs="Times New Roman" w:hint="default"/>
        <w:spacing w:val="-5"/>
        <w:w w:val="99"/>
        <w:sz w:val="24"/>
        <w:szCs w:val="24"/>
      </w:rPr>
    </w:lvl>
    <w:lvl w:ilvl="1" w:tplc="3502F8FE">
      <w:numFmt w:val="bullet"/>
      <w:lvlText w:val="•"/>
      <w:lvlJc w:val="left"/>
      <w:pPr>
        <w:ind w:left="1178" w:hanging="720"/>
      </w:pPr>
      <w:rPr>
        <w:rFonts w:hint="default"/>
      </w:rPr>
    </w:lvl>
    <w:lvl w:ilvl="2" w:tplc="DA1621EE">
      <w:numFmt w:val="bullet"/>
      <w:lvlText w:val="•"/>
      <w:lvlJc w:val="left"/>
      <w:pPr>
        <w:ind w:left="2136" w:hanging="720"/>
      </w:pPr>
      <w:rPr>
        <w:rFonts w:hint="default"/>
      </w:rPr>
    </w:lvl>
    <w:lvl w:ilvl="3" w:tplc="0E08928A">
      <w:numFmt w:val="bullet"/>
      <w:lvlText w:val="•"/>
      <w:lvlJc w:val="left"/>
      <w:pPr>
        <w:ind w:left="3094" w:hanging="720"/>
      </w:pPr>
      <w:rPr>
        <w:rFonts w:hint="default"/>
      </w:rPr>
    </w:lvl>
    <w:lvl w:ilvl="4" w:tplc="4282C676">
      <w:numFmt w:val="bullet"/>
      <w:lvlText w:val="•"/>
      <w:lvlJc w:val="left"/>
      <w:pPr>
        <w:ind w:left="4052" w:hanging="720"/>
      </w:pPr>
      <w:rPr>
        <w:rFonts w:hint="default"/>
      </w:rPr>
    </w:lvl>
    <w:lvl w:ilvl="5" w:tplc="4182A434">
      <w:numFmt w:val="bullet"/>
      <w:lvlText w:val="•"/>
      <w:lvlJc w:val="left"/>
      <w:pPr>
        <w:ind w:left="5010" w:hanging="720"/>
      </w:pPr>
      <w:rPr>
        <w:rFonts w:hint="default"/>
      </w:rPr>
    </w:lvl>
    <w:lvl w:ilvl="6" w:tplc="E752F0C6">
      <w:numFmt w:val="bullet"/>
      <w:lvlText w:val="•"/>
      <w:lvlJc w:val="left"/>
      <w:pPr>
        <w:ind w:left="5968" w:hanging="720"/>
      </w:pPr>
      <w:rPr>
        <w:rFonts w:hint="default"/>
      </w:rPr>
    </w:lvl>
    <w:lvl w:ilvl="7" w:tplc="76B69AC0">
      <w:numFmt w:val="bullet"/>
      <w:lvlText w:val="•"/>
      <w:lvlJc w:val="left"/>
      <w:pPr>
        <w:ind w:left="6926" w:hanging="720"/>
      </w:pPr>
      <w:rPr>
        <w:rFonts w:hint="default"/>
      </w:rPr>
    </w:lvl>
    <w:lvl w:ilvl="8" w:tplc="4E7ECB46">
      <w:numFmt w:val="bullet"/>
      <w:lvlText w:val="•"/>
      <w:lvlJc w:val="left"/>
      <w:pPr>
        <w:ind w:left="7884" w:hanging="720"/>
      </w:pPr>
      <w:rPr>
        <w:rFonts w:hint="default"/>
      </w:rPr>
    </w:lvl>
  </w:abstractNum>
  <w:abstractNum w:abstractNumId="1" w15:restartNumberingAfterBreak="0">
    <w:nsid w:val="627C0C9F"/>
    <w:multiLevelType w:val="hybridMultilevel"/>
    <w:tmpl w:val="D2663FB6"/>
    <w:lvl w:ilvl="0" w:tplc="B00437B6">
      <w:start w:val="1"/>
      <w:numFmt w:val="decimal"/>
      <w:lvlText w:val="%1."/>
      <w:lvlJc w:val="left"/>
      <w:pPr>
        <w:ind w:left="220" w:hanging="720"/>
        <w:jc w:val="left"/>
      </w:pPr>
      <w:rPr>
        <w:rFonts w:ascii="Times New Roman" w:eastAsia="Times New Roman" w:hAnsi="Times New Roman" w:cs="Times New Roman" w:hint="default"/>
        <w:spacing w:val="-7"/>
        <w:w w:val="99"/>
        <w:sz w:val="24"/>
        <w:szCs w:val="24"/>
      </w:rPr>
    </w:lvl>
    <w:lvl w:ilvl="1" w:tplc="C7188D82">
      <w:numFmt w:val="bullet"/>
      <w:lvlText w:val="•"/>
      <w:lvlJc w:val="left"/>
      <w:pPr>
        <w:ind w:left="1178" w:hanging="720"/>
      </w:pPr>
      <w:rPr>
        <w:rFonts w:hint="default"/>
      </w:rPr>
    </w:lvl>
    <w:lvl w:ilvl="2" w:tplc="153CF06E">
      <w:numFmt w:val="bullet"/>
      <w:lvlText w:val="•"/>
      <w:lvlJc w:val="left"/>
      <w:pPr>
        <w:ind w:left="2136" w:hanging="720"/>
      </w:pPr>
      <w:rPr>
        <w:rFonts w:hint="default"/>
      </w:rPr>
    </w:lvl>
    <w:lvl w:ilvl="3" w:tplc="64A47EF2">
      <w:numFmt w:val="bullet"/>
      <w:lvlText w:val="•"/>
      <w:lvlJc w:val="left"/>
      <w:pPr>
        <w:ind w:left="3094" w:hanging="720"/>
      </w:pPr>
      <w:rPr>
        <w:rFonts w:hint="default"/>
      </w:rPr>
    </w:lvl>
    <w:lvl w:ilvl="4" w:tplc="7AACA6EE">
      <w:numFmt w:val="bullet"/>
      <w:lvlText w:val="•"/>
      <w:lvlJc w:val="left"/>
      <w:pPr>
        <w:ind w:left="4052" w:hanging="720"/>
      </w:pPr>
      <w:rPr>
        <w:rFonts w:hint="default"/>
      </w:rPr>
    </w:lvl>
    <w:lvl w:ilvl="5" w:tplc="7990EF04">
      <w:numFmt w:val="bullet"/>
      <w:lvlText w:val="•"/>
      <w:lvlJc w:val="left"/>
      <w:pPr>
        <w:ind w:left="5010" w:hanging="720"/>
      </w:pPr>
      <w:rPr>
        <w:rFonts w:hint="default"/>
      </w:rPr>
    </w:lvl>
    <w:lvl w:ilvl="6" w:tplc="31644542">
      <w:numFmt w:val="bullet"/>
      <w:lvlText w:val="•"/>
      <w:lvlJc w:val="left"/>
      <w:pPr>
        <w:ind w:left="5968" w:hanging="720"/>
      </w:pPr>
      <w:rPr>
        <w:rFonts w:hint="default"/>
      </w:rPr>
    </w:lvl>
    <w:lvl w:ilvl="7" w:tplc="41BAE516">
      <w:numFmt w:val="bullet"/>
      <w:lvlText w:val="•"/>
      <w:lvlJc w:val="left"/>
      <w:pPr>
        <w:ind w:left="6926" w:hanging="720"/>
      </w:pPr>
      <w:rPr>
        <w:rFonts w:hint="default"/>
      </w:rPr>
    </w:lvl>
    <w:lvl w:ilvl="8" w:tplc="FB7431AA">
      <w:numFmt w:val="bullet"/>
      <w:lvlText w:val="•"/>
      <w:lvlJc w:val="left"/>
      <w:pPr>
        <w:ind w:left="7884" w:hanging="720"/>
      </w:pPr>
      <w:rPr>
        <w:rFonts w:hint="default"/>
      </w:rPr>
    </w:lvl>
  </w:abstractNum>
  <w:abstractNum w:abstractNumId="2" w15:restartNumberingAfterBreak="0">
    <w:nsid w:val="748D0424"/>
    <w:multiLevelType w:val="hybridMultilevel"/>
    <w:tmpl w:val="25A228EE"/>
    <w:lvl w:ilvl="0" w:tplc="84B69BA2">
      <w:start w:val="10"/>
      <w:numFmt w:val="decimal"/>
      <w:lvlText w:val="%1."/>
      <w:lvlJc w:val="left"/>
      <w:pPr>
        <w:ind w:left="220" w:hanging="720"/>
        <w:jc w:val="left"/>
      </w:pPr>
      <w:rPr>
        <w:rFonts w:ascii="Times New Roman" w:eastAsia="Times New Roman" w:hAnsi="Times New Roman" w:cs="Times New Roman" w:hint="default"/>
        <w:spacing w:val="-5"/>
        <w:w w:val="99"/>
        <w:sz w:val="24"/>
        <w:szCs w:val="24"/>
      </w:rPr>
    </w:lvl>
    <w:lvl w:ilvl="1" w:tplc="2244CF64">
      <w:numFmt w:val="bullet"/>
      <w:lvlText w:val="•"/>
      <w:lvlJc w:val="left"/>
      <w:pPr>
        <w:ind w:left="1178" w:hanging="720"/>
      </w:pPr>
      <w:rPr>
        <w:rFonts w:hint="default"/>
      </w:rPr>
    </w:lvl>
    <w:lvl w:ilvl="2" w:tplc="D79C1098">
      <w:numFmt w:val="bullet"/>
      <w:lvlText w:val="•"/>
      <w:lvlJc w:val="left"/>
      <w:pPr>
        <w:ind w:left="2136" w:hanging="720"/>
      </w:pPr>
      <w:rPr>
        <w:rFonts w:hint="default"/>
      </w:rPr>
    </w:lvl>
    <w:lvl w:ilvl="3" w:tplc="0B54DA04">
      <w:numFmt w:val="bullet"/>
      <w:lvlText w:val="•"/>
      <w:lvlJc w:val="left"/>
      <w:pPr>
        <w:ind w:left="3094" w:hanging="720"/>
      </w:pPr>
      <w:rPr>
        <w:rFonts w:hint="default"/>
      </w:rPr>
    </w:lvl>
    <w:lvl w:ilvl="4" w:tplc="798A2834">
      <w:numFmt w:val="bullet"/>
      <w:lvlText w:val="•"/>
      <w:lvlJc w:val="left"/>
      <w:pPr>
        <w:ind w:left="4052" w:hanging="720"/>
      </w:pPr>
      <w:rPr>
        <w:rFonts w:hint="default"/>
      </w:rPr>
    </w:lvl>
    <w:lvl w:ilvl="5" w:tplc="9C367224">
      <w:numFmt w:val="bullet"/>
      <w:lvlText w:val="•"/>
      <w:lvlJc w:val="left"/>
      <w:pPr>
        <w:ind w:left="5010" w:hanging="720"/>
      </w:pPr>
      <w:rPr>
        <w:rFonts w:hint="default"/>
      </w:rPr>
    </w:lvl>
    <w:lvl w:ilvl="6" w:tplc="6B3C7890">
      <w:numFmt w:val="bullet"/>
      <w:lvlText w:val="•"/>
      <w:lvlJc w:val="left"/>
      <w:pPr>
        <w:ind w:left="5968" w:hanging="720"/>
      </w:pPr>
      <w:rPr>
        <w:rFonts w:hint="default"/>
      </w:rPr>
    </w:lvl>
    <w:lvl w:ilvl="7" w:tplc="9DCADCB6">
      <w:numFmt w:val="bullet"/>
      <w:lvlText w:val="•"/>
      <w:lvlJc w:val="left"/>
      <w:pPr>
        <w:ind w:left="6926" w:hanging="720"/>
      </w:pPr>
      <w:rPr>
        <w:rFonts w:hint="default"/>
      </w:rPr>
    </w:lvl>
    <w:lvl w:ilvl="8" w:tplc="B03A3D0A">
      <w:numFmt w:val="bullet"/>
      <w:lvlText w:val="•"/>
      <w:lvlJc w:val="left"/>
      <w:pPr>
        <w:ind w:left="7884"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A22EB"/>
    <w:rsid w:val="00290E71"/>
    <w:rsid w:val="004109F6"/>
    <w:rsid w:val="00AA6CFA"/>
    <w:rsid w:val="00EA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D2C070"/>
  <w15:docId w15:val="{C28F734E-617B-449C-9DE9-0C6D2F1D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323" w:right="3323"/>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0" w:firstLine="72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 Martinez</cp:lastModifiedBy>
  <cp:revision>3</cp:revision>
  <dcterms:created xsi:type="dcterms:W3CDTF">2019-04-02T16:57:00Z</dcterms:created>
  <dcterms:modified xsi:type="dcterms:W3CDTF">2019-04-02T17:34:00Z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LastSaved">
    <vt:filetime>2019-04-02T00:00:00Z</vt:filetime>
  </property>
</Properties>
</file>