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45954" w14:textId="77777777" w:rsidR="004D6AC5" w:rsidRDefault="004D6AC5">
      <w:pPr>
        <w:pStyle w:val="BodyText"/>
        <w:rPr>
          <w:sz w:val="20"/>
        </w:rPr>
      </w:pPr>
    </w:p>
    <w:p w14:paraId="7DF3D71C" w14:textId="77777777" w:rsidR="004D6AC5" w:rsidRDefault="004D6AC5">
      <w:pPr>
        <w:pStyle w:val="BodyText"/>
        <w:rPr>
          <w:sz w:val="20"/>
        </w:rPr>
      </w:pPr>
    </w:p>
    <w:p w14:paraId="0E904715" w14:textId="77777777" w:rsidR="004D6AC5" w:rsidRDefault="004D6AC5">
      <w:pPr>
        <w:pStyle w:val="BodyText"/>
        <w:spacing w:before="4" w:after="1"/>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4189"/>
      </w:tblGrid>
      <w:tr w:rsidR="004D6AC5" w14:paraId="2B08B3C8" w14:textId="77777777">
        <w:trPr>
          <w:trHeight w:val="1519"/>
        </w:trPr>
        <w:tc>
          <w:tcPr>
            <w:tcW w:w="5389" w:type="dxa"/>
            <w:tcBorders>
              <w:bottom w:val="nil"/>
            </w:tcBorders>
          </w:tcPr>
          <w:p w14:paraId="5003B87C" w14:textId="77777777" w:rsidR="004D6AC5" w:rsidRDefault="00F00808">
            <w:pPr>
              <w:pStyle w:val="TableParagraph"/>
              <w:ind w:left="107" w:right="605"/>
              <w:rPr>
                <w:sz w:val="24"/>
              </w:rPr>
            </w:pPr>
            <w:r>
              <w:rPr>
                <w:sz w:val="24"/>
              </w:rPr>
              <w:t>ADAMS COUNTY DISTRICT COURT STATE OF COLORADO</w:t>
            </w:r>
          </w:p>
          <w:p w14:paraId="39C94E4E" w14:textId="77777777" w:rsidR="004D6AC5" w:rsidRDefault="00F00808">
            <w:pPr>
              <w:pStyle w:val="TableParagraph"/>
              <w:ind w:left="107"/>
              <w:rPr>
                <w:sz w:val="24"/>
              </w:rPr>
            </w:pPr>
            <w:r>
              <w:rPr>
                <w:sz w:val="24"/>
                <w:u w:val="single"/>
              </w:rPr>
              <w:t>Court Address</w:t>
            </w:r>
            <w:r>
              <w:rPr>
                <w:sz w:val="24"/>
              </w:rPr>
              <w:t>:</w:t>
            </w:r>
          </w:p>
          <w:p w14:paraId="7ACDD755" w14:textId="77777777" w:rsidR="004D6AC5" w:rsidRDefault="00F00808">
            <w:pPr>
              <w:pStyle w:val="TableParagraph"/>
              <w:ind w:left="107" w:right="2659"/>
              <w:rPr>
                <w:sz w:val="24"/>
              </w:rPr>
            </w:pPr>
            <w:r>
              <w:rPr>
                <w:sz w:val="24"/>
              </w:rPr>
              <w:t>1100 Judicial Center Drive Brighton, Colorado 80601</w:t>
            </w:r>
          </w:p>
        </w:tc>
        <w:tc>
          <w:tcPr>
            <w:tcW w:w="4189" w:type="dxa"/>
            <w:tcBorders>
              <w:bottom w:val="nil"/>
            </w:tcBorders>
          </w:tcPr>
          <w:p w14:paraId="45CABF48" w14:textId="77777777" w:rsidR="004D6AC5" w:rsidRDefault="00F00808">
            <w:pPr>
              <w:pStyle w:val="TableParagraph"/>
              <w:spacing w:line="130" w:lineRule="exact"/>
              <w:ind w:left="522"/>
              <w:rPr>
                <w:sz w:val="20"/>
              </w:rPr>
            </w:pPr>
            <w:r>
              <w:rPr>
                <w:color w:val="0000FF"/>
                <w:sz w:val="20"/>
              </w:rPr>
              <w:t>DATE FILED: August 1, 2018 9:59 AM</w:t>
            </w:r>
          </w:p>
          <w:p w14:paraId="0E18FA1C" w14:textId="77777777" w:rsidR="004D6AC5" w:rsidRDefault="00F00808">
            <w:pPr>
              <w:pStyle w:val="TableParagraph"/>
              <w:spacing w:before="4" w:line="225" w:lineRule="auto"/>
              <w:ind w:left="522" w:right="632"/>
              <w:rPr>
                <w:sz w:val="20"/>
              </w:rPr>
            </w:pPr>
            <w:r>
              <w:rPr>
                <w:color w:val="0000FF"/>
                <w:sz w:val="20"/>
              </w:rPr>
              <w:t>FILING ID: 6DFBB1958DFC3 CASE NUMBER: 2018CV30347</w:t>
            </w:r>
          </w:p>
          <w:p w14:paraId="6F3FCC8D" w14:textId="77777777" w:rsidR="004D6AC5" w:rsidRDefault="004D6AC5">
            <w:pPr>
              <w:pStyle w:val="TableParagraph"/>
              <w:spacing w:before="3"/>
            </w:pPr>
          </w:p>
          <w:p w14:paraId="7D9728E4" w14:textId="77777777" w:rsidR="004D6AC5" w:rsidRDefault="00F00808">
            <w:pPr>
              <w:pStyle w:val="TableParagraph"/>
              <w:ind w:left="1094"/>
              <w:rPr>
                <w:rFonts w:ascii="Marlett" w:hAnsi="Marlett"/>
                <w:sz w:val="24"/>
              </w:rPr>
            </w:pPr>
            <w:r>
              <w:rPr>
                <w:rFonts w:ascii="Marlett" w:hAnsi="Marlett"/>
                <w:sz w:val="24"/>
              </w:rPr>
              <w:t></w:t>
            </w:r>
            <w:r>
              <w:rPr>
                <w:sz w:val="24"/>
              </w:rPr>
              <w:t>Court Use Only</w:t>
            </w:r>
            <w:r>
              <w:rPr>
                <w:rFonts w:ascii="Marlett" w:hAnsi="Marlett"/>
                <w:sz w:val="24"/>
              </w:rPr>
              <w:t></w:t>
            </w:r>
          </w:p>
        </w:tc>
      </w:tr>
      <w:tr w:rsidR="004D6AC5" w14:paraId="74D5875B" w14:textId="77777777">
        <w:trPr>
          <w:trHeight w:val="1388"/>
        </w:trPr>
        <w:tc>
          <w:tcPr>
            <w:tcW w:w="5389" w:type="dxa"/>
            <w:tcBorders>
              <w:top w:val="nil"/>
              <w:bottom w:val="nil"/>
            </w:tcBorders>
          </w:tcPr>
          <w:p w14:paraId="07E5CA5D" w14:textId="77777777" w:rsidR="004D6AC5" w:rsidRDefault="004D6AC5">
            <w:pPr>
              <w:pStyle w:val="TableParagraph"/>
              <w:spacing w:before="5"/>
              <w:rPr>
                <w:sz w:val="10"/>
              </w:rPr>
            </w:pPr>
          </w:p>
          <w:p w14:paraId="159108EF" w14:textId="77777777" w:rsidR="004D6AC5" w:rsidRDefault="00F00808">
            <w:pPr>
              <w:pStyle w:val="TableParagraph"/>
              <w:spacing w:line="20" w:lineRule="exact"/>
              <w:ind w:left="102"/>
              <w:rPr>
                <w:sz w:val="2"/>
              </w:rPr>
            </w:pPr>
            <w:r>
              <w:rPr>
                <w:sz w:val="2"/>
              </w:rPr>
            </w:r>
            <w:r>
              <w:rPr>
                <w:sz w:val="2"/>
              </w:rPr>
              <w:pict w14:anchorId="7FE368B4">
                <v:group id="_x0000_s1032" style="width:252pt;height:.5pt;mso-position-horizontal-relative:char;mso-position-vertical-relative:line" coordsize="5040,10">
                  <v:line id="_x0000_s1033" style="position:absolute" from="0,5" to="5040,5" strokeweight=".48pt"/>
                  <w10:wrap type="none"/>
                  <w10:anchorlock/>
                </v:group>
              </w:pict>
            </w:r>
          </w:p>
          <w:p w14:paraId="781086AC" w14:textId="2463FA9C" w:rsidR="004D6AC5" w:rsidRDefault="00F00808">
            <w:pPr>
              <w:pStyle w:val="TableParagraph"/>
              <w:ind w:left="107" w:right="95"/>
              <w:jc w:val="both"/>
              <w:rPr>
                <w:b/>
                <w:sz w:val="24"/>
              </w:rPr>
            </w:pPr>
            <w:r>
              <w:rPr>
                <w:b/>
                <w:sz w:val="24"/>
              </w:rPr>
              <w:t xml:space="preserve">Plaintiff(s): </w:t>
            </w:r>
          </w:p>
        </w:tc>
        <w:tc>
          <w:tcPr>
            <w:tcW w:w="4189" w:type="dxa"/>
            <w:tcBorders>
              <w:top w:val="nil"/>
              <w:bottom w:val="nil"/>
            </w:tcBorders>
          </w:tcPr>
          <w:p w14:paraId="2D0B6A20" w14:textId="77777777" w:rsidR="004D6AC5" w:rsidRDefault="004D6AC5">
            <w:pPr>
              <w:pStyle w:val="TableParagraph"/>
              <w:rPr>
                <w:sz w:val="20"/>
              </w:rPr>
            </w:pPr>
          </w:p>
          <w:p w14:paraId="29F307FF" w14:textId="77777777" w:rsidR="004D6AC5" w:rsidRDefault="004D6AC5">
            <w:pPr>
              <w:pStyle w:val="TableParagraph"/>
              <w:rPr>
                <w:sz w:val="20"/>
              </w:rPr>
            </w:pPr>
          </w:p>
          <w:p w14:paraId="6B868838" w14:textId="77777777" w:rsidR="004D6AC5" w:rsidRDefault="004D6AC5">
            <w:pPr>
              <w:pStyle w:val="TableParagraph"/>
              <w:rPr>
                <w:sz w:val="20"/>
              </w:rPr>
            </w:pPr>
          </w:p>
          <w:p w14:paraId="2324AA3B" w14:textId="77777777" w:rsidR="004D6AC5" w:rsidRDefault="004D6AC5">
            <w:pPr>
              <w:pStyle w:val="TableParagraph"/>
              <w:spacing w:before="11"/>
              <w:rPr>
                <w:sz w:val="23"/>
              </w:rPr>
            </w:pPr>
          </w:p>
          <w:p w14:paraId="50A363D6" w14:textId="77777777" w:rsidR="004D6AC5" w:rsidRDefault="00F00808">
            <w:pPr>
              <w:pStyle w:val="TableParagraph"/>
              <w:spacing w:line="20" w:lineRule="exact"/>
              <w:ind w:left="347"/>
              <w:rPr>
                <w:sz w:val="2"/>
              </w:rPr>
            </w:pPr>
            <w:r>
              <w:rPr>
                <w:sz w:val="2"/>
              </w:rPr>
            </w:r>
            <w:r>
              <w:rPr>
                <w:sz w:val="2"/>
              </w:rPr>
              <w:pict w14:anchorId="4BBA6423">
                <v:group id="_x0000_s1030" style="width:174pt;height:.5pt;mso-position-horizontal-relative:char;mso-position-vertical-relative:line" coordsize="3480,10">
                  <v:line id="_x0000_s1031" style="position:absolute" from="0,5" to="3480,5" strokeweight=".48pt"/>
                  <w10:wrap type="none"/>
                  <w10:anchorlock/>
                </v:group>
              </w:pict>
            </w:r>
          </w:p>
          <w:p w14:paraId="2739F0BF" w14:textId="77777777" w:rsidR="004D6AC5" w:rsidRDefault="00F00808">
            <w:pPr>
              <w:pStyle w:val="TableParagraph"/>
              <w:ind w:left="407"/>
              <w:rPr>
                <w:sz w:val="24"/>
              </w:rPr>
            </w:pPr>
            <w:r>
              <w:rPr>
                <w:sz w:val="24"/>
              </w:rPr>
              <w:t>Case Number: 18 CV 030347</w:t>
            </w:r>
          </w:p>
        </w:tc>
      </w:tr>
      <w:tr w:rsidR="004D6AC5" w14:paraId="60EC7622" w14:textId="77777777">
        <w:trPr>
          <w:trHeight w:val="1101"/>
        </w:trPr>
        <w:tc>
          <w:tcPr>
            <w:tcW w:w="5389" w:type="dxa"/>
            <w:tcBorders>
              <w:top w:val="nil"/>
              <w:bottom w:val="nil"/>
            </w:tcBorders>
          </w:tcPr>
          <w:p w14:paraId="3EB6A233" w14:textId="2A920B50" w:rsidR="004D6AC5" w:rsidRDefault="00F00808">
            <w:pPr>
              <w:pStyle w:val="TableParagraph"/>
              <w:spacing w:before="127"/>
              <w:ind w:left="107" w:right="85"/>
              <w:rPr>
                <w:b/>
                <w:sz w:val="24"/>
              </w:rPr>
            </w:pPr>
            <w:r>
              <w:rPr>
                <w:b/>
                <w:sz w:val="24"/>
              </w:rPr>
              <w:t xml:space="preserve">Defendant(s): </w:t>
            </w:r>
          </w:p>
        </w:tc>
        <w:tc>
          <w:tcPr>
            <w:tcW w:w="4189" w:type="dxa"/>
            <w:tcBorders>
              <w:top w:val="nil"/>
              <w:bottom w:val="nil"/>
            </w:tcBorders>
          </w:tcPr>
          <w:p w14:paraId="7F7946FB" w14:textId="77777777" w:rsidR="004D6AC5" w:rsidRDefault="004D6AC5">
            <w:pPr>
              <w:pStyle w:val="TableParagraph"/>
              <w:rPr>
                <w:sz w:val="26"/>
              </w:rPr>
            </w:pPr>
          </w:p>
          <w:p w14:paraId="6AA4FDD2" w14:textId="77777777" w:rsidR="004D6AC5" w:rsidRDefault="004D6AC5">
            <w:pPr>
              <w:pStyle w:val="TableParagraph"/>
              <w:spacing w:before="1"/>
              <w:rPr>
                <w:sz w:val="34"/>
              </w:rPr>
            </w:pPr>
          </w:p>
          <w:p w14:paraId="56AA5E32" w14:textId="77777777" w:rsidR="004D6AC5" w:rsidRDefault="00F00808">
            <w:pPr>
              <w:pStyle w:val="TableParagraph"/>
              <w:ind w:left="407"/>
              <w:rPr>
                <w:sz w:val="24"/>
              </w:rPr>
            </w:pPr>
            <w:r>
              <w:rPr>
                <w:sz w:val="24"/>
              </w:rPr>
              <w:t>Division/ Courtroom:</w:t>
            </w:r>
            <w:r>
              <w:rPr>
                <w:spacing w:val="59"/>
                <w:sz w:val="24"/>
              </w:rPr>
              <w:t xml:space="preserve"> </w:t>
            </w:r>
            <w:r>
              <w:rPr>
                <w:sz w:val="24"/>
              </w:rPr>
              <w:t>W</w:t>
            </w:r>
          </w:p>
        </w:tc>
      </w:tr>
      <w:tr w:rsidR="004D6AC5" w14:paraId="5C559A48" w14:textId="77777777">
        <w:trPr>
          <w:trHeight w:val="3442"/>
        </w:trPr>
        <w:tc>
          <w:tcPr>
            <w:tcW w:w="5389" w:type="dxa"/>
            <w:tcBorders>
              <w:top w:val="nil"/>
            </w:tcBorders>
          </w:tcPr>
          <w:p w14:paraId="6A7CEB9D" w14:textId="77777777" w:rsidR="004D6AC5" w:rsidRDefault="004D6AC5">
            <w:pPr>
              <w:pStyle w:val="TableParagraph"/>
              <w:spacing w:before="11"/>
              <w:rPr>
                <w:sz w:val="9"/>
              </w:rPr>
            </w:pPr>
          </w:p>
          <w:p w14:paraId="5567CA23" w14:textId="77777777" w:rsidR="004D6AC5" w:rsidRDefault="00F00808">
            <w:pPr>
              <w:pStyle w:val="TableParagraph"/>
              <w:spacing w:line="20" w:lineRule="exact"/>
              <w:ind w:left="102"/>
              <w:rPr>
                <w:sz w:val="2"/>
              </w:rPr>
            </w:pPr>
            <w:r>
              <w:rPr>
                <w:sz w:val="2"/>
              </w:rPr>
            </w:r>
            <w:r>
              <w:rPr>
                <w:sz w:val="2"/>
              </w:rPr>
              <w:pict w14:anchorId="4DCA7140">
                <v:group id="_x0000_s1028" style="width:252pt;height:.5pt;mso-position-horizontal-relative:char;mso-position-vertical-relative:line" coordsize="5040,10">
                  <v:line id="_x0000_s1029" style="position:absolute" from="0,5" to="5040,5" strokeweight=".48pt"/>
                  <w10:wrap type="none"/>
                  <w10:anchorlock/>
                </v:group>
              </w:pict>
            </w:r>
          </w:p>
          <w:p w14:paraId="09C29455" w14:textId="77777777" w:rsidR="004D6AC5" w:rsidRDefault="00F00808">
            <w:pPr>
              <w:pStyle w:val="TableParagraph"/>
              <w:ind w:left="107"/>
              <w:rPr>
                <w:i/>
                <w:sz w:val="24"/>
              </w:rPr>
            </w:pPr>
            <w:r>
              <w:rPr>
                <w:i/>
                <w:sz w:val="24"/>
              </w:rPr>
              <w:t>Attorneys for Plaintiff:</w:t>
            </w:r>
          </w:p>
          <w:p w14:paraId="2BA48626" w14:textId="77777777" w:rsidR="00F00808" w:rsidRDefault="00F00808" w:rsidP="00F00808">
            <w:pPr>
              <w:pStyle w:val="TableParagraph"/>
              <w:ind w:left="107" w:right="2234"/>
              <w:rPr>
                <w:sz w:val="24"/>
              </w:rPr>
            </w:pPr>
          </w:p>
          <w:p w14:paraId="18079881" w14:textId="30F7C099" w:rsidR="00F00808" w:rsidRDefault="00F00808" w:rsidP="00F00808">
            <w:pPr>
              <w:pStyle w:val="TableParagraph"/>
              <w:ind w:left="107" w:right="2234"/>
              <w:rPr>
                <w:sz w:val="24"/>
              </w:rPr>
            </w:pPr>
            <w:r>
              <w:rPr>
                <w:sz w:val="24"/>
              </w:rPr>
              <w:t>ADRESS:</w:t>
            </w:r>
          </w:p>
          <w:p w14:paraId="7891E6C0" w14:textId="76725E4F" w:rsidR="004D6AC5" w:rsidRDefault="00F00808" w:rsidP="00F00808">
            <w:pPr>
              <w:pStyle w:val="TableParagraph"/>
              <w:ind w:left="107" w:right="2234"/>
              <w:rPr>
                <w:sz w:val="24"/>
              </w:rPr>
            </w:pPr>
            <w:r>
              <w:rPr>
                <w:sz w:val="24"/>
              </w:rPr>
              <w:t>Phone Number:</w:t>
            </w:r>
            <w:r>
              <w:rPr>
                <w:spacing w:val="58"/>
                <w:sz w:val="24"/>
              </w:rPr>
              <w:t xml:space="preserve"> </w:t>
            </w:r>
          </w:p>
          <w:p w14:paraId="104E5621" w14:textId="238FB611" w:rsidR="004D6AC5" w:rsidRDefault="00F00808">
            <w:pPr>
              <w:pStyle w:val="TableParagraph"/>
              <w:spacing w:line="270" w:lineRule="atLeast"/>
              <w:ind w:left="107" w:right="2092"/>
              <w:rPr>
                <w:sz w:val="24"/>
              </w:rPr>
            </w:pPr>
            <w:r>
              <w:rPr>
                <w:sz w:val="24"/>
              </w:rPr>
              <w:t>F</w:t>
            </w:r>
            <w:r>
              <w:rPr>
                <w:sz w:val="24"/>
              </w:rPr>
              <w:t>a</w:t>
            </w:r>
            <w:r>
              <w:rPr>
                <w:sz w:val="24"/>
              </w:rPr>
              <w:t xml:space="preserve">x Number: </w:t>
            </w:r>
          </w:p>
        </w:tc>
        <w:tc>
          <w:tcPr>
            <w:tcW w:w="4189" w:type="dxa"/>
            <w:tcBorders>
              <w:top w:val="nil"/>
            </w:tcBorders>
          </w:tcPr>
          <w:p w14:paraId="284AE590" w14:textId="77777777" w:rsidR="004D6AC5" w:rsidRDefault="004D6AC5">
            <w:pPr>
              <w:pStyle w:val="TableParagraph"/>
            </w:pPr>
          </w:p>
        </w:tc>
      </w:tr>
      <w:tr w:rsidR="004D6AC5" w14:paraId="32F4722F" w14:textId="77777777">
        <w:trPr>
          <w:trHeight w:val="1103"/>
        </w:trPr>
        <w:tc>
          <w:tcPr>
            <w:tcW w:w="9578" w:type="dxa"/>
            <w:gridSpan w:val="2"/>
          </w:tcPr>
          <w:p w14:paraId="5B0C953F" w14:textId="77777777" w:rsidR="004D6AC5" w:rsidRDefault="004D6AC5">
            <w:pPr>
              <w:pStyle w:val="TableParagraph"/>
              <w:spacing w:before="10"/>
              <w:rPr>
                <w:sz w:val="23"/>
              </w:rPr>
            </w:pPr>
          </w:p>
          <w:p w14:paraId="0CC66A9B" w14:textId="77777777" w:rsidR="004D6AC5" w:rsidRDefault="00F00808">
            <w:pPr>
              <w:pStyle w:val="TableParagraph"/>
              <w:ind w:left="3797" w:right="494" w:hanging="3277"/>
              <w:rPr>
                <w:b/>
                <w:sz w:val="24"/>
              </w:rPr>
            </w:pPr>
            <w:r>
              <w:rPr>
                <w:b/>
                <w:sz w:val="24"/>
              </w:rPr>
              <w:t>PLAINTIFF’S MOTION FOR LEAVE TO AMEND COMPLAINT TO CLARIFY RELIEF SOUGHT</w:t>
            </w:r>
          </w:p>
        </w:tc>
      </w:tr>
    </w:tbl>
    <w:p w14:paraId="66CD3F8D" w14:textId="77777777" w:rsidR="004D6AC5" w:rsidRDefault="004D6AC5">
      <w:pPr>
        <w:pStyle w:val="BodyText"/>
        <w:spacing w:before="8"/>
        <w:rPr>
          <w:sz w:val="15"/>
        </w:rPr>
      </w:pPr>
    </w:p>
    <w:p w14:paraId="6B0BF330" w14:textId="77777777" w:rsidR="004D6AC5" w:rsidRDefault="00F00808">
      <w:pPr>
        <w:pStyle w:val="BodyText"/>
        <w:spacing w:before="90" w:line="480" w:lineRule="auto"/>
        <w:ind w:left="220" w:right="219" w:firstLine="719"/>
        <w:jc w:val="both"/>
      </w:pPr>
      <w:r>
        <w:rPr>
          <w:b/>
        </w:rPr>
        <w:t xml:space="preserve">COMES NOW, </w:t>
      </w:r>
      <w:r>
        <w:t xml:space="preserve">the Plaintiff, Judith Makowski, by and through her counsel, Anderson </w:t>
      </w:r>
      <w:proofErr w:type="spellStart"/>
      <w:r>
        <w:t>Hemmat</w:t>
      </w:r>
      <w:proofErr w:type="spellEnd"/>
      <w:r>
        <w:t>, LLC, and for her Motion for Leave to Amend Complaint to Clarify Relief Sought, states and alleges as follows:</w:t>
      </w:r>
    </w:p>
    <w:p w14:paraId="447D7904" w14:textId="77777777" w:rsidR="004D6AC5" w:rsidRDefault="00F00808">
      <w:pPr>
        <w:pStyle w:val="Heading1"/>
        <w:ind w:left="1864"/>
        <w:jc w:val="left"/>
        <w:rPr>
          <w:u w:val="none"/>
        </w:rPr>
      </w:pPr>
      <w:r>
        <w:rPr>
          <w:u w:val="thick"/>
        </w:rPr>
        <w:t>CERTIFICATION PURSUANT TO C.R.C.P. 121 § 1-15 (8)</w:t>
      </w:r>
    </w:p>
    <w:p w14:paraId="1C985C9B" w14:textId="77777777" w:rsidR="004D6AC5" w:rsidRDefault="004D6AC5">
      <w:pPr>
        <w:pStyle w:val="BodyText"/>
        <w:spacing w:before="9"/>
        <w:rPr>
          <w:b/>
          <w:sz w:val="15"/>
        </w:rPr>
      </w:pPr>
    </w:p>
    <w:p w14:paraId="1C256B18" w14:textId="77777777" w:rsidR="004D6AC5" w:rsidRDefault="00F00808">
      <w:pPr>
        <w:pStyle w:val="BodyText"/>
        <w:spacing w:before="90" w:line="480" w:lineRule="auto"/>
        <w:ind w:left="220" w:right="268" w:firstLine="719"/>
      </w:pPr>
      <w:r>
        <w:rPr>
          <w:spacing w:val="-3"/>
        </w:rPr>
        <w:t xml:space="preserve">Plaintiff has </w:t>
      </w:r>
      <w:r>
        <w:rPr>
          <w:spacing w:val="-4"/>
        </w:rPr>
        <w:t>conf</w:t>
      </w:r>
      <w:r>
        <w:rPr>
          <w:spacing w:val="-4"/>
        </w:rPr>
        <w:t xml:space="preserve">erred </w:t>
      </w:r>
      <w:r>
        <w:rPr>
          <w:spacing w:val="-3"/>
        </w:rPr>
        <w:t xml:space="preserve">with </w:t>
      </w:r>
      <w:r>
        <w:rPr>
          <w:spacing w:val="-4"/>
        </w:rPr>
        <w:t xml:space="preserve">counsel </w:t>
      </w:r>
      <w:r>
        <w:rPr>
          <w:spacing w:val="-3"/>
        </w:rPr>
        <w:t xml:space="preserve">for </w:t>
      </w:r>
      <w:r>
        <w:rPr>
          <w:spacing w:val="-4"/>
        </w:rPr>
        <w:t xml:space="preserve">Defendants, </w:t>
      </w:r>
      <w:r>
        <w:t xml:space="preserve">Amy </w:t>
      </w:r>
      <w:proofErr w:type="spellStart"/>
      <w:r>
        <w:rPr>
          <w:spacing w:val="-3"/>
        </w:rPr>
        <w:t>Twohey</w:t>
      </w:r>
      <w:proofErr w:type="spellEnd"/>
      <w:r>
        <w:rPr>
          <w:spacing w:val="-3"/>
        </w:rPr>
        <w:t xml:space="preserve">, Esq., who has </w:t>
      </w:r>
      <w:r>
        <w:rPr>
          <w:spacing w:val="-4"/>
        </w:rPr>
        <w:t>indicated</w:t>
      </w:r>
      <w:r>
        <w:rPr>
          <w:spacing w:val="52"/>
        </w:rPr>
        <w:t xml:space="preserve"> </w:t>
      </w:r>
      <w:r>
        <w:rPr>
          <w:spacing w:val="-3"/>
        </w:rPr>
        <w:t xml:space="preserve">that </w:t>
      </w:r>
      <w:r>
        <w:rPr>
          <w:spacing w:val="-4"/>
        </w:rPr>
        <w:t xml:space="preserve">Defendants </w:t>
      </w:r>
      <w:r>
        <w:rPr>
          <w:spacing w:val="-3"/>
        </w:rPr>
        <w:t xml:space="preserve">are </w:t>
      </w:r>
      <w:r>
        <w:rPr>
          <w:spacing w:val="-4"/>
        </w:rPr>
        <w:t xml:space="preserve">opposed </w:t>
      </w:r>
      <w:r>
        <w:t xml:space="preserve">to the </w:t>
      </w:r>
      <w:r>
        <w:rPr>
          <w:spacing w:val="-4"/>
        </w:rPr>
        <w:t>relief sought herein.</w:t>
      </w:r>
    </w:p>
    <w:p w14:paraId="628A47D1" w14:textId="77777777" w:rsidR="004D6AC5" w:rsidRDefault="004D6AC5">
      <w:pPr>
        <w:spacing w:line="480" w:lineRule="auto"/>
        <w:sectPr w:rsidR="004D6AC5">
          <w:footerReference w:type="default" r:id="rId7"/>
          <w:type w:val="continuous"/>
          <w:pgSz w:w="12240" w:h="15840"/>
          <w:pgMar w:top="1500" w:right="1220" w:bottom="1240" w:left="1220" w:header="720" w:footer="1042" w:gutter="0"/>
          <w:pgNumType w:start="1"/>
          <w:cols w:space="720"/>
        </w:sectPr>
      </w:pPr>
    </w:p>
    <w:p w14:paraId="6DF1FD6E" w14:textId="77777777" w:rsidR="004D6AC5" w:rsidRDefault="004D6AC5">
      <w:pPr>
        <w:pStyle w:val="BodyText"/>
        <w:rPr>
          <w:sz w:val="20"/>
        </w:rPr>
      </w:pPr>
    </w:p>
    <w:p w14:paraId="7794635D" w14:textId="77777777" w:rsidR="004D6AC5" w:rsidRDefault="004D6AC5">
      <w:pPr>
        <w:pStyle w:val="BodyText"/>
        <w:spacing w:before="6"/>
        <w:rPr>
          <w:sz w:val="29"/>
        </w:rPr>
      </w:pPr>
    </w:p>
    <w:p w14:paraId="12B4D11D" w14:textId="77777777" w:rsidR="004D6AC5" w:rsidRDefault="00F00808">
      <w:pPr>
        <w:pStyle w:val="Heading1"/>
        <w:spacing w:before="90"/>
        <w:ind w:right="3282"/>
        <w:rPr>
          <w:u w:val="none"/>
        </w:rPr>
      </w:pPr>
      <w:r>
        <w:rPr>
          <w:u w:val="thick"/>
        </w:rPr>
        <w:t>INTRODUCTION</w:t>
      </w:r>
    </w:p>
    <w:p w14:paraId="3DC6EF6C" w14:textId="77777777" w:rsidR="004D6AC5" w:rsidRDefault="004D6AC5">
      <w:pPr>
        <w:pStyle w:val="BodyText"/>
        <w:spacing w:before="9"/>
        <w:rPr>
          <w:b/>
          <w:sz w:val="15"/>
        </w:rPr>
      </w:pPr>
    </w:p>
    <w:p w14:paraId="13DBCA52" w14:textId="77777777" w:rsidR="004D6AC5" w:rsidRDefault="00F00808">
      <w:pPr>
        <w:pStyle w:val="ListParagraph"/>
        <w:numPr>
          <w:ilvl w:val="0"/>
          <w:numId w:val="2"/>
        </w:numPr>
        <w:tabs>
          <w:tab w:val="left" w:pos="1661"/>
        </w:tabs>
        <w:spacing w:before="90" w:line="480" w:lineRule="auto"/>
        <w:ind w:right="217" w:firstLine="720"/>
        <w:jc w:val="both"/>
        <w:rPr>
          <w:sz w:val="24"/>
        </w:rPr>
      </w:pPr>
      <w:r>
        <w:rPr>
          <w:sz w:val="24"/>
        </w:rPr>
        <w:t>This case arises out of an incident that occurred on February 2, 2017 wherein Edward J. Makowski (“Decedent”) was looking for an apartment with an employee/agent for The Oslo Apartments located at 11501 North Washington Street in the City of Northglenn, Co</w:t>
      </w:r>
      <w:r>
        <w:rPr>
          <w:sz w:val="24"/>
        </w:rPr>
        <w:t>unty of Adams, State of Colorado. Upon information and belief, during the tour conducted by Defendants’ employee/agent, Decedent slipped on stairs on the property that were either icy or had ice melt placed on them without need, resulting in a slipper cond</w:t>
      </w:r>
      <w:r>
        <w:rPr>
          <w:sz w:val="24"/>
        </w:rPr>
        <w:t>ition, and fell resulting in his</w:t>
      </w:r>
      <w:r>
        <w:rPr>
          <w:spacing w:val="-1"/>
          <w:sz w:val="24"/>
        </w:rPr>
        <w:t xml:space="preserve"> </w:t>
      </w:r>
      <w:r>
        <w:rPr>
          <w:sz w:val="24"/>
        </w:rPr>
        <w:t>death.</w:t>
      </w:r>
    </w:p>
    <w:p w14:paraId="71ED5539" w14:textId="77777777" w:rsidR="004D6AC5" w:rsidRDefault="00F00808">
      <w:pPr>
        <w:pStyle w:val="ListParagraph"/>
        <w:numPr>
          <w:ilvl w:val="0"/>
          <w:numId w:val="2"/>
        </w:numPr>
        <w:tabs>
          <w:tab w:val="left" w:pos="1661"/>
        </w:tabs>
        <w:spacing w:before="0" w:line="480" w:lineRule="auto"/>
        <w:ind w:firstLine="720"/>
        <w:jc w:val="both"/>
        <w:rPr>
          <w:sz w:val="24"/>
        </w:rPr>
      </w:pPr>
      <w:r>
        <w:rPr>
          <w:sz w:val="24"/>
        </w:rPr>
        <w:t>Additionally, the employee/agent conducting the tour of the apartments observed what she described as Decedent’s frail condition, had reservations about his ability to ascend the stairs leading to the model apartment</w:t>
      </w:r>
      <w:r>
        <w:rPr>
          <w:sz w:val="24"/>
        </w:rPr>
        <w:t xml:space="preserve"> located on the second floor of one of the apartment buildings, but led him up those stairs regardless. </w:t>
      </w:r>
      <w:r>
        <w:rPr>
          <w:spacing w:val="-3"/>
          <w:sz w:val="24"/>
        </w:rPr>
        <w:t xml:space="preserve">It </w:t>
      </w:r>
      <w:r>
        <w:rPr>
          <w:sz w:val="24"/>
        </w:rPr>
        <w:t>was on those stairs that Decedent fell, resulting in his</w:t>
      </w:r>
      <w:r>
        <w:rPr>
          <w:spacing w:val="-3"/>
          <w:sz w:val="24"/>
        </w:rPr>
        <w:t xml:space="preserve"> </w:t>
      </w:r>
      <w:r>
        <w:rPr>
          <w:sz w:val="24"/>
        </w:rPr>
        <w:t>death.</w:t>
      </w:r>
    </w:p>
    <w:p w14:paraId="38EB56B5" w14:textId="77777777" w:rsidR="004D6AC5" w:rsidRDefault="00F00808">
      <w:pPr>
        <w:pStyle w:val="ListParagraph"/>
        <w:numPr>
          <w:ilvl w:val="0"/>
          <w:numId w:val="2"/>
        </w:numPr>
        <w:tabs>
          <w:tab w:val="left" w:pos="1661"/>
        </w:tabs>
        <w:spacing w:line="480" w:lineRule="auto"/>
        <w:ind w:right="213" w:firstLine="720"/>
        <w:jc w:val="both"/>
        <w:rPr>
          <w:sz w:val="24"/>
        </w:rPr>
      </w:pPr>
      <w:r>
        <w:rPr>
          <w:sz w:val="24"/>
        </w:rPr>
        <w:t xml:space="preserve">Plaintiff was only able to take the deposition of this employee/agent that conducted </w:t>
      </w:r>
      <w:r>
        <w:rPr>
          <w:sz w:val="24"/>
        </w:rPr>
        <w:t xml:space="preserve">the tour, a Ms. </w:t>
      </w:r>
      <w:proofErr w:type="spellStart"/>
      <w:r>
        <w:rPr>
          <w:sz w:val="24"/>
        </w:rPr>
        <w:t>Sandar</w:t>
      </w:r>
      <w:proofErr w:type="spellEnd"/>
      <w:r>
        <w:rPr>
          <w:sz w:val="24"/>
        </w:rPr>
        <w:t xml:space="preserve"> Roe recently, on July 26, 2018, and as a result of this deposition, the above information contained in the second paragraph of this Motion only just came to Plaintiff’s</w:t>
      </w:r>
      <w:r>
        <w:rPr>
          <w:spacing w:val="-1"/>
          <w:sz w:val="24"/>
        </w:rPr>
        <w:t xml:space="preserve"> </w:t>
      </w:r>
      <w:r>
        <w:rPr>
          <w:sz w:val="24"/>
        </w:rPr>
        <w:t>attention.</w:t>
      </w:r>
    </w:p>
    <w:p w14:paraId="376A1FEB" w14:textId="77777777" w:rsidR="004D6AC5" w:rsidRDefault="00F00808">
      <w:pPr>
        <w:pStyle w:val="ListParagraph"/>
        <w:numPr>
          <w:ilvl w:val="0"/>
          <w:numId w:val="2"/>
        </w:numPr>
        <w:tabs>
          <w:tab w:val="left" w:pos="1661"/>
        </w:tabs>
        <w:spacing w:line="480" w:lineRule="auto"/>
        <w:ind w:right="221" w:firstLine="720"/>
        <w:jc w:val="both"/>
        <w:rPr>
          <w:sz w:val="24"/>
        </w:rPr>
      </w:pPr>
      <w:r>
        <w:rPr>
          <w:sz w:val="24"/>
        </w:rPr>
        <w:t>Therefore, Plaintiff now brings this Motion for Leave</w:t>
      </w:r>
      <w:r>
        <w:rPr>
          <w:sz w:val="24"/>
        </w:rPr>
        <w:t xml:space="preserve"> to Amend Complaint to Clarify Relief Sought so that she may incorporate this recently obtained information into her claims in this</w:t>
      </w:r>
      <w:r>
        <w:rPr>
          <w:spacing w:val="-1"/>
          <w:sz w:val="24"/>
        </w:rPr>
        <w:t xml:space="preserve"> </w:t>
      </w:r>
      <w:r>
        <w:rPr>
          <w:sz w:val="24"/>
        </w:rPr>
        <w:t>action.</w:t>
      </w:r>
    </w:p>
    <w:p w14:paraId="7D573CC1" w14:textId="77777777" w:rsidR="004D6AC5" w:rsidRDefault="00F00808">
      <w:pPr>
        <w:pStyle w:val="Heading1"/>
        <w:ind w:right="3286"/>
        <w:rPr>
          <w:u w:val="none"/>
        </w:rPr>
      </w:pPr>
      <w:r>
        <w:rPr>
          <w:u w:val="thick"/>
        </w:rPr>
        <w:t>LEGAL STANDARD</w:t>
      </w:r>
    </w:p>
    <w:p w14:paraId="16C2B5C5" w14:textId="77777777" w:rsidR="004D6AC5" w:rsidRDefault="004D6AC5">
      <w:pPr>
        <w:sectPr w:rsidR="004D6AC5">
          <w:pgSz w:w="12240" w:h="15840"/>
          <w:pgMar w:top="1500" w:right="1220" w:bottom="1240" w:left="1220" w:header="0" w:footer="1042" w:gutter="0"/>
          <w:cols w:space="720"/>
        </w:sectPr>
      </w:pPr>
    </w:p>
    <w:p w14:paraId="46C41192" w14:textId="77777777" w:rsidR="004D6AC5" w:rsidRDefault="004D6AC5">
      <w:pPr>
        <w:pStyle w:val="BodyText"/>
        <w:rPr>
          <w:b/>
          <w:sz w:val="20"/>
        </w:rPr>
      </w:pPr>
    </w:p>
    <w:p w14:paraId="6AE2E10F" w14:textId="77777777" w:rsidR="004D6AC5" w:rsidRDefault="004D6AC5">
      <w:pPr>
        <w:pStyle w:val="BodyText"/>
        <w:spacing w:before="1"/>
        <w:rPr>
          <w:b/>
          <w:sz w:val="29"/>
        </w:rPr>
      </w:pPr>
    </w:p>
    <w:p w14:paraId="1CE0E02E" w14:textId="77777777" w:rsidR="004D6AC5" w:rsidRDefault="00F00808">
      <w:pPr>
        <w:pStyle w:val="ListParagraph"/>
        <w:numPr>
          <w:ilvl w:val="0"/>
          <w:numId w:val="2"/>
        </w:numPr>
        <w:tabs>
          <w:tab w:val="left" w:pos="1661"/>
        </w:tabs>
        <w:spacing w:before="90" w:line="480" w:lineRule="auto"/>
        <w:ind w:right="222" w:firstLine="720"/>
        <w:jc w:val="both"/>
        <w:rPr>
          <w:sz w:val="24"/>
        </w:rPr>
      </w:pPr>
      <w:r>
        <w:rPr>
          <w:sz w:val="24"/>
        </w:rPr>
        <w:t>If an amendment to a pleading is filed after 21 days of the original pleading, “a party may amend his pleading only by leave of court or by written consent of the adverse</w:t>
      </w:r>
      <w:r>
        <w:rPr>
          <w:spacing w:val="58"/>
          <w:sz w:val="24"/>
        </w:rPr>
        <w:t xml:space="preserve"> </w:t>
      </w:r>
      <w:r>
        <w:rPr>
          <w:sz w:val="24"/>
        </w:rPr>
        <w:t>party.”</w:t>
      </w:r>
    </w:p>
    <w:p w14:paraId="7A05158E" w14:textId="77777777" w:rsidR="004D6AC5" w:rsidRDefault="00F00808">
      <w:pPr>
        <w:pStyle w:val="BodyText"/>
        <w:ind w:left="220"/>
        <w:rPr>
          <w:i/>
        </w:rPr>
      </w:pPr>
      <w:r>
        <w:t>C.R.C.P. 15(a). “[L]eave shall be freely given when justice so requires.”</w:t>
      </w:r>
      <w:r>
        <w:rPr>
          <w:spacing w:val="-20"/>
        </w:rPr>
        <w:t xml:space="preserve"> </w:t>
      </w:r>
      <w:r>
        <w:rPr>
          <w:i/>
        </w:rPr>
        <w:t>Id.</w:t>
      </w:r>
    </w:p>
    <w:p w14:paraId="3018E86A" w14:textId="77777777" w:rsidR="004D6AC5" w:rsidRDefault="004D6AC5">
      <w:pPr>
        <w:pStyle w:val="BodyText"/>
        <w:rPr>
          <w:i/>
        </w:rPr>
      </w:pPr>
    </w:p>
    <w:p w14:paraId="4698FFDA" w14:textId="77777777" w:rsidR="004D6AC5" w:rsidRDefault="00F00808">
      <w:pPr>
        <w:pStyle w:val="ListParagraph"/>
        <w:numPr>
          <w:ilvl w:val="0"/>
          <w:numId w:val="2"/>
        </w:numPr>
        <w:tabs>
          <w:tab w:val="left" w:pos="1661"/>
        </w:tabs>
        <w:spacing w:before="0" w:line="480" w:lineRule="auto"/>
        <w:ind w:right="221" w:firstLine="720"/>
        <w:jc w:val="both"/>
        <w:rPr>
          <w:sz w:val="24"/>
        </w:rPr>
      </w:pPr>
      <w:r>
        <w:rPr>
          <w:sz w:val="24"/>
        </w:rPr>
        <w:t xml:space="preserve">Clarification of the relief sought constitutes proper grounds for amendments to a complaint. </w:t>
      </w:r>
      <w:r>
        <w:rPr>
          <w:i/>
          <w:sz w:val="24"/>
        </w:rPr>
        <w:t xml:space="preserve">Gilligan v. </w:t>
      </w:r>
      <w:proofErr w:type="spellStart"/>
      <w:r>
        <w:rPr>
          <w:i/>
          <w:sz w:val="24"/>
        </w:rPr>
        <w:t>Blakesley</w:t>
      </w:r>
      <w:proofErr w:type="spellEnd"/>
      <w:r>
        <w:rPr>
          <w:sz w:val="24"/>
        </w:rPr>
        <w:t>, 26 P.2d 808, 810 (Colo.</w:t>
      </w:r>
      <w:r>
        <w:rPr>
          <w:spacing w:val="-1"/>
          <w:sz w:val="24"/>
        </w:rPr>
        <w:t xml:space="preserve"> </w:t>
      </w:r>
      <w:r>
        <w:rPr>
          <w:sz w:val="24"/>
        </w:rPr>
        <w:t>1933).</w:t>
      </w:r>
    </w:p>
    <w:p w14:paraId="769C23C3" w14:textId="77777777" w:rsidR="004D6AC5" w:rsidRDefault="00F00808">
      <w:pPr>
        <w:pStyle w:val="ListParagraph"/>
        <w:numPr>
          <w:ilvl w:val="0"/>
          <w:numId w:val="2"/>
        </w:numPr>
        <w:tabs>
          <w:tab w:val="left" w:pos="1661"/>
        </w:tabs>
        <w:spacing w:line="480" w:lineRule="auto"/>
        <w:ind w:firstLine="720"/>
        <w:jc w:val="both"/>
        <w:rPr>
          <w:sz w:val="24"/>
        </w:rPr>
      </w:pPr>
      <w:r>
        <w:rPr>
          <w:sz w:val="24"/>
        </w:rPr>
        <w:t>“Whenever the claim or defense asserted in the amended pleading arose out of the conduct, transaction, or occurrence set forth or attempted to be set forth in the original pleading, the amendment relates back to the date of the original pleading.” C.R.C.P.</w:t>
      </w:r>
      <w:r>
        <w:rPr>
          <w:spacing w:val="-8"/>
          <w:sz w:val="24"/>
        </w:rPr>
        <w:t xml:space="preserve"> </w:t>
      </w:r>
      <w:r>
        <w:rPr>
          <w:sz w:val="24"/>
        </w:rPr>
        <w:t>15(c).</w:t>
      </w:r>
    </w:p>
    <w:p w14:paraId="5F14DA50" w14:textId="77777777" w:rsidR="004D6AC5" w:rsidRDefault="00F00808">
      <w:pPr>
        <w:pStyle w:val="Heading1"/>
        <w:ind w:right="3285"/>
        <w:rPr>
          <w:u w:val="none"/>
        </w:rPr>
      </w:pPr>
      <w:r>
        <w:rPr>
          <w:u w:val="thick"/>
        </w:rPr>
        <w:t>ARGUMENT</w:t>
      </w:r>
    </w:p>
    <w:p w14:paraId="3E080D3F" w14:textId="77777777" w:rsidR="004D6AC5" w:rsidRDefault="004D6AC5">
      <w:pPr>
        <w:pStyle w:val="BodyText"/>
        <w:spacing w:before="9"/>
        <w:rPr>
          <w:b/>
          <w:sz w:val="15"/>
        </w:rPr>
      </w:pPr>
    </w:p>
    <w:p w14:paraId="55F11017" w14:textId="77777777" w:rsidR="004D6AC5" w:rsidRDefault="00F00808">
      <w:pPr>
        <w:pStyle w:val="ListParagraph"/>
        <w:numPr>
          <w:ilvl w:val="0"/>
          <w:numId w:val="2"/>
        </w:numPr>
        <w:tabs>
          <w:tab w:val="left" w:pos="1661"/>
        </w:tabs>
        <w:spacing w:before="89" w:line="480" w:lineRule="auto"/>
        <w:ind w:right="219" w:firstLine="720"/>
        <w:jc w:val="both"/>
        <w:rPr>
          <w:sz w:val="24"/>
        </w:rPr>
      </w:pPr>
      <w:r>
        <w:rPr>
          <w:sz w:val="24"/>
        </w:rPr>
        <w:t>Plaintiff’s Complaint was filed on March 1, 2018, and Plaintiff’s first Amended Complaint was filed the next day, on March 2, 2018. Twenty-one days after March 2, 2018 was March 23, 2018. Accordingly, leave of Court is required before Pla</w:t>
      </w:r>
      <w:r>
        <w:rPr>
          <w:sz w:val="24"/>
        </w:rPr>
        <w:t>intiff may amend her Complaint in this</w:t>
      </w:r>
      <w:r>
        <w:rPr>
          <w:spacing w:val="-3"/>
          <w:sz w:val="24"/>
        </w:rPr>
        <w:t xml:space="preserve"> </w:t>
      </w:r>
      <w:r>
        <w:rPr>
          <w:sz w:val="24"/>
        </w:rPr>
        <w:t>matter.</w:t>
      </w:r>
    </w:p>
    <w:p w14:paraId="1C0312E8" w14:textId="77777777" w:rsidR="004D6AC5" w:rsidRDefault="00F00808">
      <w:pPr>
        <w:pStyle w:val="ListParagraph"/>
        <w:numPr>
          <w:ilvl w:val="0"/>
          <w:numId w:val="2"/>
        </w:numPr>
        <w:tabs>
          <w:tab w:val="left" w:pos="1661"/>
        </w:tabs>
        <w:spacing w:line="480" w:lineRule="auto"/>
        <w:ind w:right="219" w:firstLine="720"/>
        <w:jc w:val="both"/>
        <w:rPr>
          <w:sz w:val="24"/>
        </w:rPr>
      </w:pPr>
      <w:r>
        <w:rPr>
          <w:sz w:val="24"/>
        </w:rPr>
        <w:t>As mentioned above, Plaintiff was only just recently able to take the deposition of Ms. Sandra Roe, who was the only person present with Decedent at the time of his fall and death. Ms. Roe’s deposition was tak</w:t>
      </w:r>
      <w:r>
        <w:rPr>
          <w:sz w:val="24"/>
        </w:rPr>
        <w:t>en on July 26, 2018. New information came to light in this deposition, and Plaintiff therefore hereby seeks to incorporate this newly obtained information into her claim for</w:t>
      </w:r>
      <w:r>
        <w:rPr>
          <w:spacing w:val="-2"/>
          <w:sz w:val="24"/>
        </w:rPr>
        <w:t xml:space="preserve"> </w:t>
      </w:r>
      <w:r>
        <w:rPr>
          <w:sz w:val="24"/>
        </w:rPr>
        <w:t>relief.</w:t>
      </w:r>
    </w:p>
    <w:p w14:paraId="3CF90BDF" w14:textId="77777777" w:rsidR="004D6AC5" w:rsidRDefault="00F00808">
      <w:pPr>
        <w:pStyle w:val="ListParagraph"/>
        <w:numPr>
          <w:ilvl w:val="0"/>
          <w:numId w:val="2"/>
        </w:numPr>
        <w:tabs>
          <w:tab w:val="left" w:pos="1661"/>
        </w:tabs>
        <w:spacing w:line="480" w:lineRule="auto"/>
        <w:ind w:right="217" w:firstLine="720"/>
        <w:jc w:val="both"/>
        <w:rPr>
          <w:sz w:val="24"/>
        </w:rPr>
      </w:pPr>
      <w:r>
        <w:rPr>
          <w:sz w:val="24"/>
        </w:rPr>
        <w:t>More specifically, Ms. Roe, the leasing consultant for the Oslo Apartments</w:t>
      </w:r>
      <w:r>
        <w:rPr>
          <w:sz w:val="24"/>
        </w:rPr>
        <w:t>, testified that when she first saw Decedent, she thought his ability to walk was significantly impaired. She testified that Decedent walked with a limp and that he walked very slowly. She further</w:t>
      </w:r>
      <w:r>
        <w:rPr>
          <w:spacing w:val="4"/>
          <w:sz w:val="24"/>
        </w:rPr>
        <w:t xml:space="preserve"> </w:t>
      </w:r>
      <w:r>
        <w:rPr>
          <w:sz w:val="24"/>
        </w:rPr>
        <w:t>testified</w:t>
      </w:r>
      <w:r>
        <w:rPr>
          <w:spacing w:val="6"/>
          <w:sz w:val="24"/>
        </w:rPr>
        <w:t xml:space="preserve"> </w:t>
      </w:r>
      <w:r>
        <w:rPr>
          <w:sz w:val="24"/>
        </w:rPr>
        <w:t>that</w:t>
      </w:r>
      <w:r>
        <w:rPr>
          <w:spacing w:val="6"/>
          <w:sz w:val="24"/>
        </w:rPr>
        <w:t xml:space="preserve"> </w:t>
      </w:r>
      <w:r>
        <w:rPr>
          <w:sz w:val="24"/>
        </w:rPr>
        <w:t>his</w:t>
      </w:r>
      <w:r>
        <w:rPr>
          <w:spacing w:val="7"/>
          <w:sz w:val="24"/>
        </w:rPr>
        <w:t xml:space="preserve"> </w:t>
      </w:r>
      <w:r>
        <w:rPr>
          <w:sz w:val="24"/>
        </w:rPr>
        <w:t>feet</w:t>
      </w:r>
      <w:r>
        <w:rPr>
          <w:spacing w:val="7"/>
          <w:sz w:val="24"/>
        </w:rPr>
        <w:t xml:space="preserve"> </w:t>
      </w:r>
      <w:r>
        <w:rPr>
          <w:sz w:val="24"/>
        </w:rPr>
        <w:t>pointed</w:t>
      </w:r>
      <w:r>
        <w:rPr>
          <w:spacing w:val="5"/>
          <w:sz w:val="24"/>
        </w:rPr>
        <w:t xml:space="preserve"> </w:t>
      </w:r>
      <w:r>
        <w:rPr>
          <w:sz w:val="24"/>
        </w:rPr>
        <w:t>inwards</w:t>
      </w:r>
      <w:r>
        <w:rPr>
          <w:spacing w:val="6"/>
          <w:sz w:val="24"/>
        </w:rPr>
        <w:t xml:space="preserve"> </w:t>
      </w:r>
      <w:r>
        <w:rPr>
          <w:sz w:val="24"/>
        </w:rPr>
        <w:t>in</w:t>
      </w:r>
      <w:r>
        <w:rPr>
          <w:spacing w:val="7"/>
          <w:sz w:val="24"/>
        </w:rPr>
        <w:t xml:space="preserve"> </w:t>
      </w:r>
      <w:r>
        <w:rPr>
          <w:sz w:val="24"/>
        </w:rPr>
        <w:t>a</w:t>
      </w:r>
      <w:r>
        <w:rPr>
          <w:spacing w:val="7"/>
          <w:sz w:val="24"/>
        </w:rPr>
        <w:t xml:space="preserve"> </w:t>
      </w:r>
      <w:r>
        <w:rPr>
          <w:sz w:val="24"/>
        </w:rPr>
        <w:t>“V”</w:t>
      </w:r>
      <w:r>
        <w:rPr>
          <w:spacing w:val="5"/>
          <w:sz w:val="24"/>
        </w:rPr>
        <w:t xml:space="preserve"> </w:t>
      </w:r>
      <w:r>
        <w:rPr>
          <w:sz w:val="24"/>
        </w:rPr>
        <w:t>shape.</w:t>
      </w:r>
      <w:r>
        <w:rPr>
          <w:spacing w:val="9"/>
          <w:sz w:val="24"/>
        </w:rPr>
        <w:t xml:space="preserve"> </w:t>
      </w:r>
      <w:r>
        <w:rPr>
          <w:sz w:val="24"/>
        </w:rPr>
        <w:t>Ms.</w:t>
      </w:r>
      <w:r>
        <w:rPr>
          <w:spacing w:val="7"/>
          <w:sz w:val="24"/>
        </w:rPr>
        <w:t xml:space="preserve"> </w:t>
      </w:r>
      <w:r>
        <w:rPr>
          <w:sz w:val="24"/>
        </w:rPr>
        <w:t>Roe</w:t>
      </w:r>
      <w:r>
        <w:rPr>
          <w:spacing w:val="6"/>
          <w:sz w:val="24"/>
        </w:rPr>
        <w:t xml:space="preserve"> </w:t>
      </w:r>
      <w:r>
        <w:rPr>
          <w:sz w:val="24"/>
        </w:rPr>
        <w:t>went</w:t>
      </w:r>
      <w:r>
        <w:rPr>
          <w:spacing w:val="6"/>
          <w:sz w:val="24"/>
        </w:rPr>
        <w:t xml:space="preserve"> </w:t>
      </w:r>
      <w:r>
        <w:rPr>
          <w:sz w:val="24"/>
        </w:rPr>
        <w:t>so</w:t>
      </w:r>
      <w:r>
        <w:rPr>
          <w:spacing w:val="7"/>
          <w:sz w:val="24"/>
        </w:rPr>
        <w:t xml:space="preserve"> </w:t>
      </w:r>
      <w:r>
        <w:rPr>
          <w:sz w:val="24"/>
        </w:rPr>
        <w:t>far</w:t>
      </w:r>
      <w:r>
        <w:rPr>
          <w:spacing w:val="6"/>
          <w:sz w:val="24"/>
        </w:rPr>
        <w:t xml:space="preserve"> </w:t>
      </w:r>
      <w:r>
        <w:rPr>
          <w:sz w:val="24"/>
        </w:rPr>
        <w:t>as</w:t>
      </w:r>
      <w:r>
        <w:rPr>
          <w:spacing w:val="8"/>
          <w:sz w:val="24"/>
        </w:rPr>
        <w:t xml:space="preserve"> </w:t>
      </w:r>
      <w:r>
        <w:rPr>
          <w:sz w:val="24"/>
        </w:rPr>
        <w:t>to</w:t>
      </w:r>
      <w:r>
        <w:rPr>
          <w:spacing w:val="7"/>
          <w:sz w:val="24"/>
        </w:rPr>
        <w:t xml:space="preserve"> </w:t>
      </w:r>
      <w:r>
        <w:rPr>
          <w:sz w:val="24"/>
        </w:rPr>
        <w:t>state</w:t>
      </w:r>
      <w:r>
        <w:rPr>
          <w:spacing w:val="5"/>
          <w:sz w:val="24"/>
        </w:rPr>
        <w:t xml:space="preserve"> </w:t>
      </w:r>
      <w:r>
        <w:rPr>
          <w:sz w:val="24"/>
        </w:rPr>
        <w:t>that</w:t>
      </w:r>
    </w:p>
    <w:p w14:paraId="39494FB1" w14:textId="77777777" w:rsidR="004D6AC5" w:rsidRDefault="004D6AC5">
      <w:pPr>
        <w:spacing w:line="480" w:lineRule="auto"/>
        <w:jc w:val="both"/>
        <w:rPr>
          <w:sz w:val="24"/>
        </w:rPr>
        <w:sectPr w:rsidR="004D6AC5">
          <w:pgSz w:w="12240" w:h="15840"/>
          <w:pgMar w:top="1500" w:right="1220" w:bottom="1240" w:left="1220" w:header="0" w:footer="1042" w:gutter="0"/>
          <w:cols w:space="720"/>
        </w:sectPr>
      </w:pPr>
    </w:p>
    <w:p w14:paraId="4C82FF6F" w14:textId="77777777" w:rsidR="004D6AC5" w:rsidRDefault="004D6AC5">
      <w:pPr>
        <w:pStyle w:val="BodyText"/>
        <w:rPr>
          <w:sz w:val="20"/>
        </w:rPr>
      </w:pPr>
    </w:p>
    <w:p w14:paraId="588E1FC3" w14:textId="77777777" w:rsidR="004D6AC5" w:rsidRDefault="004D6AC5">
      <w:pPr>
        <w:pStyle w:val="BodyText"/>
        <w:spacing w:before="1"/>
        <w:rPr>
          <w:sz w:val="29"/>
        </w:rPr>
      </w:pPr>
    </w:p>
    <w:p w14:paraId="5F655EE5" w14:textId="77777777" w:rsidR="004D6AC5" w:rsidRDefault="00F00808">
      <w:pPr>
        <w:pStyle w:val="BodyText"/>
        <w:spacing w:before="90" w:line="480" w:lineRule="auto"/>
        <w:ind w:left="220" w:right="219"/>
        <w:jc w:val="both"/>
      </w:pPr>
      <w:r>
        <w:t>Decedent appeared physically disabled. Ms. Roe also testified that Decedent informed her that he was looking for a first-floor apartment because he did not walk well. Ms. Roe even testified that she was scared about Decedent going up the stairs.</w:t>
      </w:r>
    </w:p>
    <w:p w14:paraId="4EF655FA" w14:textId="77777777" w:rsidR="004D6AC5" w:rsidRDefault="00F00808">
      <w:pPr>
        <w:pStyle w:val="ListParagraph"/>
        <w:numPr>
          <w:ilvl w:val="0"/>
          <w:numId w:val="2"/>
        </w:numPr>
        <w:tabs>
          <w:tab w:val="left" w:pos="1661"/>
        </w:tabs>
        <w:spacing w:before="0" w:line="480" w:lineRule="auto"/>
        <w:ind w:right="222" w:firstLine="720"/>
        <w:jc w:val="both"/>
        <w:rPr>
          <w:sz w:val="24"/>
        </w:rPr>
      </w:pPr>
      <w:r>
        <w:rPr>
          <w:sz w:val="24"/>
        </w:rPr>
        <w:t>Ms. Roe te</w:t>
      </w:r>
      <w:r>
        <w:rPr>
          <w:sz w:val="24"/>
        </w:rPr>
        <w:t xml:space="preserve">stified that there were no model apartments on the first floor, and that the model apartment was on the second floor. </w:t>
      </w:r>
      <w:proofErr w:type="gramStart"/>
      <w:r>
        <w:rPr>
          <w:sz w:val="24"/>
        </w:rPr>
        <w:t>In spite of</w:t>
      </w:r>
      <w:proofErr w:type="gramEnd"/>
      <w:r>
        <w:rPr>
          <w:sz w:val="24"/>
        </w:rPr>
        <w:t xml:space="preserve"> all her observations and misgivings, Ms. Roe still began the tour with Decedent, and walked with him over to the stairs that l</w:t>
      </w:r>
      <w:r>
        <w:rPr>
          <w:sz w:val="24"/>
        </w:rPr>
        <w:t xml:space="preserve">ed up to the modal apartment. It was on </w:t>
      </w:r>
      <w:proofErr w:type="gramStart"/>
      <w:r>
        <w:rPr>
          <w:sz w:val="24"/>
        </w:rPr>
        <w:t>this stairs</w:t>
      </w:r>
      <w:proofErr w:type="gramEnd"/>
      <w:r>
        <w:rPr>
          <w:sz w:val="24"/>
        </w:rPr>
        <w:t xml:space="preserve"> that Decedent fell and</w:t>
      </w:r>
      <w:r>
        <w:rPr>
          <w:spacing w:val="-1"/>
          <w:sz w:val="24"/>
        </w:rPr>
        <w:t xml:space="preserve"> </w:t>
      </w:r>
      <w:r>
        <w:rPr>
          <w:sz w:val="24"/>
        </w:rPr>
        <w:t>died.</w:t>
      </w:r>
    </w:p>
    <w:p w14:paraId="5B4D290B" w14:textId="77777777" w:rsidR="004D6AC5" w:rsidRDefault="00F00808">
      <w:pPr>
        <w:pStyle w:val="ListParagraph"/>
        <w:numPr>
          <w:ilvl w:val="0"/>
          <w:numId w:val="2"/>
        </w:numPr>
        <w:tabs>
          <w:tab w:val="left" w:pos="1661"/>
        </w:tabs>
        <w:spacing w:line="480" w:lineRule="auto"/>
        <w:ind w:right="213" w:firstLine="720"/>
        <w:jc w:val="both"/>
        <w:rPr>
          <w:sz w:val="24"/>
        </w:rPr>
      </w:pPr>
      <w:proofErr w:type="gramStart"/>
      <w:r>
        <w:rPr>
          <w:sz w:val="24"/>
        </w:rPr>
        <w:t>In light of</w:t>
      </w:r>
      <w:proofErr w:type="gramEnd"/>
      <w:r>
        <w:rPr>
          <w:sz w:val="24"/>
        </w:rPr>
        <w:t xml:space="preserve"> this new information, Plaintiff’s claims against Defendants are bolstered, as not only was there a dangerous condition on the property, but there was no model apar</w:t>
      </w:r>
      <w:r>
        <w:rPr>
          <w:sz w:val="24"/>
        </w:rPr>
        <w:t>tment on the first floor of the apartments as there should have been for those tenants and potential tenants who did not have the health to use the stairs. Additionally, the employee of Defendants, Ms. Roe, immediately became concerned about Decedent’s abi</w:t>
      </w:r>
      <w:r>
        <w:rPr>
          <w:sz w:val="24"/>
        </w:rPr>
        <w:t>lity to safely ascend the stairs in order to complete the tour of the model apartment, yet she took him on this tour anyway. Additionally, this tour was taken during poor weather</w:t>
      </w:r>
      <w:r>
        <w:rPr>
          <w:spacing w:val="-6"/>
          <w:sz w:val="24"/>
        </w:rPr>
        <w:t xml:space="preserve"> </w:t>
      </w:r>
      <w:r>
        <w:rPr>
          <w:sz w:val="24"/>
        </w:rPr>
        <w:t>conditions.</w:t>
      </w:r>
    </w:p>
    <w:p w14:paraId="3A2C60F1" w14:textId="77777777" w:rsidR="004D6AC5" w:rsidRDefault="00F00808">
      <w:pPr>
        <w:pStyle w:val="ListParagraph"/>
        <w:numPr>
          <w:ilvl w:val="0"/>
          <w:numId w:val="2"/>
        </w:numPr>
        <w:tabs>
          <w:tab w:val="left" w:pos="1661"/>
        </w:tabs>
        <w:spacing w:line="480" w:lineRule="auto"/>
        <w:ind w:right="215" w:firstLine="720"/>
        <w:jc w:val="both"/>
        <w:rPr>
          <w:sz w:val="24"/>
        </w:rPr>
      </w:pPr>
      <w:r>
        <w:rPr>
          <w:sz w:val="24"/>
        </w:rPr>
        <w:t>That this use of the property and the resultant injuries are prop</w:t>
      </w:r>
      <w:r>
        <w:rPr>
          <w:sz w:val="24"/>
        </w:rPr>
        <w:t xml:space="preserve">erly within the purview of Colorado’s Premises Liability Act (“PLA”) was established by the Colorado Supreme Court in </w:t>
      </w:r>
      <w:proofErr w:type="spellStart"/>
      <w:r>
        <w:rPr>
          <w:i/>
          <w:sz w:val="24"/>
        </w:rPr>
        <w:t>Larrieu</w:t>
      </w:r>
      <w:proofErr w:type="spellEnd"/>
      <w:r>
        <w:rPr>
          <w:i/>
          <w:sz w:val="24"/>
        </w:rPr>
        <w:t xml:space="preserve"> v. Best Buy Stores, L.P.</w:t>
      </w:r>
      <w:r>
        <w:rPr>
          <w:sz w:val="24"/>
        </w:rPr>
        <w:t>, which held that claims brought under the PLA are not restricted to activities that are “directly or inhe</w:t>
      </w:r>
      <w:r>
        <w:rPr>
          <w:sz w:val="24"/>
        </w:rPr>
        <w:t xml:space="preserve">rently related to the land,” but include “conditions, activities, and circumstances on the property that the landowner is liable for in its legal capacity as a landowner.” 303 P.3d 558, 563 (Colo. 2013). In </w:t>
      </w:r>
      <w:proofErr w:type="spellStart"/>
      <w:r>
        <w:rPr>
          <w:i/>
          <w:sz w:val="24"/>
        </w:rPr>
        <w:t>Larrieu</w:t>
      </w:r>
      <w:proofErr w:type="spellEnd"/>
      <w:r>
        <w:rPr>
          <w:sz w:val="24"/>
        </w:rPr>
        <w:t xml:space="preserve">, the court found that the PLA applied to </w:t>
      </w:r>
      <w:r>
        <w:rPr>
          <w:sz w:val="24"/>
        </w:rPr>
        <w:t>a claim by a plaintiff wherein a Best Buy employee was helping the plaintiff load a freezer</w:t>
      </w:r>
      <w:r>
        <w:rPr>
          <w:spacing w:val="9"/>
          <w:sz w:val="24"/>
        </w:rPr>
        <w:t xml:space="preserve"> </w:t>
      </w:r>
      <w:r>
        <w:rPr>
          <w:sz w:val="24"/>
        </w:rPr>
        <w:t>he</w:t>
      </w:r>
      <w:r>
        <w:rPr>
          <w:spacing w:val="9"/>
          <w:sz w:val="24"/>
        </w:rPr>
        <w:t xml:space="preserve"> </w:t>
      </w:r>
      <w:r>
        <w:rPr>
          <w:sz w:val="24"/>
        </w:rPr>
        <w:t>had</w:t>
      </w:r>
      <w:r>
        <w:rPr>
          <w:spacing w:val="10"/>
          <w:sz w:val="24"/>
        </w:rPr>
        <w:t xml:space="preserve"> </w:t>
      </w:r>
      <w:r>
        <w:rPr>
          <w:sz w:val="24"/>
        </w:rPr>
        <w:t>purchased</w:t>
      </w:r>
      <w:r>
        <w:rPr>
          <w:spacing w:val="12"/>
          <w:sz w:val="24"/>
        </w:rPr>
        <w:t xml:space="preserve"> </w:t>
      </w:r>
      <w:r>
        <w:rPr>
          <w:sz w:val="24"/>
        </w:rPr>
        <w:t>from</w:t>
      </w:r>
      <w:r>
        <w:rPr>
          <w:spacing w:val="11"/>
          <w:sz w:val="24"/>
        </w:rPr>
        <w:t xml:space="preserve"> </w:t>
      </w:r>
      <w:r>
        <w:rPr>
          <w:sz w:val="24"/>
        </w:rPr>
        <w:t>Best</w:t>
      </w:r>
      <w:r>
        <w:rPr>
          <w:spacing w:val="10"/>
          <w:sz w:val="24"/>
        </w:rPr>
        <w:t xml:space="preserve"> </w:t>
      </w:r>
      <w:r>
        <w:rPr>
          <w:sz w:val="24"/>
        </w:rPr>
        <w:t>Buy</w:t>
      </w:r>
      <w:r>
        <w:rPr>
          <w:spacing w:val="3"/>
          <w:sz w:val="24"/>
        </w:rPr>
        <w:t xml:space="preserve"> </w:t>
      </w:r>
      <w:r>
        <w:rPr>
          <w:sz w:val="24"/>
        </w:rPr>
        <w:t>onto</w:t>
      </w:r>
      <w:r>
        <w:rPr>
          <w:spacing w:val="11"/>
          <w:sz w:val="24"/>
        </w:rPr>
        <w:t xml:space="preserve"> </w:t>
      </w:r>
      <w:r>
        <w:rPr>
          <w:sz w:val="24"/>
        </w:rPr>
        <w:t>his</w:t>
      </w:r>
      <w:r>
        <w:rPr>
          <w:spacing w:val="11"/>
          <w:sz w:val="24"/>
        </w:rPr>
        <w:t xml:space="preserve"> </w:t>
      </w:r>
      <w:r>
        <w:rPr>
          <w:sz w:val="24"/>
        </w:rPr>
        <w:t>truck</w:t>
      </w:r>
      <w:r>
        <w:rPr>
          <w:spacing w:val="10"/>
          <w:sz w:val="24"/>
        </w:rPr>
        <w:t xml:space="preserve"> </w:t>
      </w:r>
      <w:r>
        <w:rPr>
          <w:sz w:val="24"/>
        </w:rPr>
        <w:t>and</w:t>
      </w:r>
      <w:r>
        <w:rPr>
          <w:spacing w:val="10"/>
          <w:sz w:val="24"/>
        </w:rPr>
        <w:t xml:space="preserve"> </w:t>
      </w:r>
      <w:r>
        <w:rPr>
          <w:sz w:val="24"/>
        </w:rPr>
        <w:t>the</w:t>
      </w:r>
      <w:r>
        <w:rPr>
          <w:spacing w:val="9"/>
          <w:sz w:val="24"/>
        </w:rPr>
        <w:t xml:space="preserve"> </w:t>
      </w:r>
      <w:r>
        <w:rPr>
          <w:sz w:val="24"/>
        </w:rPr>
        <w:t>plaintiff</w:t>
      </w:r>
      <w:r>
        <w:rPr>
          <w:spacing w:val="9"/>
          <w:sz w:val="24"/>
        </w:rPr>
        <w:t xml:space="preserve"> </w:t>
      </w:r>
      <w:r>
        <w:rPr>
          <w:sz w:val="24"/>
        </w:rPr>
        <w:t>sustained</w:t>
      </w:r>
      <w:r>
        <w:rPr>
          <w:spacing w:val="10"/>
          <w:sz w:val="24"/>
        </w:rPr>
        <w:t xml:space="preserve"> </w:t>
      </w:r>
      <w:r>
        <w:rPr>
          <w:sz w:val="24"/>
        </w:rPr>
        <w:t>injuries.</w:t>
      </w:r>
      <w:r>
        <w:rPr>
          <w:spacing w:val="17"/>
          <w:sz w:val="24"/>
        </w:rPr>
        <w:t xml:space="preserve"> </w:t>
      </w:r>
      <w:r>
        <w:rPr>
          <w:i/>
          <w:sz w:val="24"/>
        </w:rPr>
        <w:t>Id.</w:t>
      </w:r>
      <w:r>
        <w:rPr>
          <w:i/>
          <w:spacing w:val="10"/>
          <w:sz w:val="24"/>
        </w:rPr>
        <w:t xml:space="preserve"> </w:t>
      </w:r>
      <w:r>
        <w:rPr>
          <w:sz w:val="24"/>
        </w:rPr>
        <w:t>at</w:t>
      </w:r>
    </w:p>
    <w:p w14:paraId="538FBE23" w14:textId="77777777" w:rsidR="004D6AC5" w:rsidRDefault="004D6AC5">
      <w:pPr>
        <w:spacing w:line="480" w:lineRule="auto"/>
        <w:jc w:val="both"/>
        <w:rPr>
          <w:sz w:val="24"/>
        </w:rPr>
        <w:sectPr w:rsidR="004D6AC5">
          <w:pgSz w:w="12240" w:h="15840"/>
          <w:pgMar w:top="1500" w:right="1220" w:bottom="1240" w:left="1220" w:header="0" w:footer="1042" w:gutter="0"/>
          <w:cols w:space="720"/>
        </w:sectPr>
      </w:pPr>
    </w:p>
    <w:p w14:paraId="4C7E3495" w14:textId="77777777" w:rsidR="004D6AC5" w:rsidRDefault="004D6AC5">
      <w:pPr>
        <w:pStyle w:val="BodyText"/>
        <w:rPr>
          <w:sz w:val="20"/>
        </w:rPr>
      </w:pPr>
    </w:p>
    <w:p w14:paraId="20B4193D" w14:textId="77777777" w:rsidR="004D6AC5" w:rsidRDefault="004D6AC5">
      <w:pPr>
        <w:pStyle w:val="BodyText"/>
        <w:spacing w:before="1"/>
        <w:rPr>
          <w:sz w:val="29"/>
        </w:rPr>
      </w:pPr>
    </w:p>
    <w:p w14:paraId="3838FC39" w14:textId="77777777" w:rsidR="004D6AC5" w:rsidRDefault="00F00808">
      <w:pPr>
        <w:pStyle w:val="BodyText"/>
        <w:spacing w:before="90" w:line="480" w:lineRule="auto"/>
        <w:ind w:left="220"/>
        <w:rPr>
          <w:i/>
        </w:rPr>
      </w:pPr>
      <w:r>
        <w:t xml:space="preserve">564. The court agreed with the plaintiff that Best Buy “in its capacity as a landowner, was responsible for the activities conducted and conditions on its premises.” </w:t>
      </w:r>
      <w:r>
        <w:rPr>
          <w:i/>
        </w:rPr>
        <w:t>Id.</w:t>
      </w:r>
    </w:p>
    <w:p w14:paraId="7D30DFFC" w14:textId="77777777" w:rsidR="004D6AC5" w:rsidRDefault="00F00808">
      <w:pPr>
        <w:pStyle w:val="ListParagraph"/>
        <w:numPr>
          <w:ilvl w:val="0"/>
          <w:numId w:val="1"/>
        </w:numPr>
        <w:tabs>
          <w:tab w:val="left" w:pos="1661"/>
        </w:tabs>
        <w:spacing w:before="0" w:line="480" w:lineRule="auto"/>
        <w:ind w:firstLine="720"/>
        <w:jc w:val="both"/>
        <w:rPr>
          <w:sz w:val="24"/>
        </w:rPr>
      </w:pPr>
      <w:r>
        <w:rPr>
          <w:sz w:val="24"/>
        </w:rPr>
        <w:t xml:space="preserve">Here too, Defendants were responsible for the activities conducted on their property, </w:t>
      </w:r>
      <w:r>
        <w:rPr>
          <w:sz w:val="24"/>
        </w:rPr>
        <w:t>and for the condition their property was in. The combination of poor weather conditions, the lack of a first-floor model apartment, and Ms. Roe’s decision to take Decedent up the stairs to the second-floor modal apartment despite her reservations about his</w:t>
      </w:r>
      <w:r>
        <w:rPr>
          <w:sz w:val="24"/>
        </w:rPr>
        <w:t xml:space="preserve"> ability to safely climb those stairs, constitutes a dangerous condition of which Defendants, through their employee, knew, and this hazard resulted in the death of</w:t>
      </w:r>
      <w:r>
        <w:rPr>
          <w:spacing w:val="-2"/>
          <w:sz w:val="24"/>
        </w:rPr>
        <w:t xml:space="preserve"> </w:t>
      </w:r>
      <w:r>
        <w:rPr>
          <w:sz w:val="24"/>
        </w:rPr>
        <w:t>Decedent.</w:t>
      </w:r>
    </w:p>
    <w:p w14:paraId="570DB91C" w14:textId="77777777" w:rsidR="004D6AC5" w:rsidRDefault="00F00808">
      <w:pPr>
        <w:pStyle w:val="ListParagraph"/>
        <w:numPr>
          <w:ilvl w:val="0"/>
          <w:numId w:val="1"/>
        </w:numPr>
        <w:tabs>
          <w:tab w:val="left" w:pos="1661"/>
        </w:tabs>
        <w:spacing w:line="480" w:lineRule="auto"/>
        <w:ind w:right="225" w:firstLine="720"/>
        <w:jc w:val="both"/>
        <w:rPr>
          <w:sz w:val="24"/>
        </w:rPr>
      </w:pPr>
      <w:r>
        <w:rPr>
          <w:sz w:val="24"/>
        </w:rPr>
        <w:t>Therefore, Plaintiff seeks leave of this Court to incorporate this newly obtained</w:t>
      </w:r>
      <w:r>
        <w:rPr>
          <w:sz w:val="24"/>
        </w:rPr>
        <w:t xml:space="preserve"> information into her Complaint against</w:t>
      </w:r>
      <w:r>
        <w:rPr>
          <w:spacing w:val="-3"/>
          <w:sz w:val="24"/>
        </w:rPr>
        <w:t xml:space="preserve"> </w:t>
      </w:r>
      <w:r>
        <w:rPr>
          <w:sz w:val="24"/>
        </w:rPr>
        <w:t>Defendants.</w:t>
      </w:r>
    </w:p>
    <w:p w14:paraId="44835D09" w14:textId="77777777" w:rsidR="004D6AC5" w:rsidRDefault="00F00808">
      <w:pPr>
        <w:pStyle w:val="BodyText"/>
        <w:spacing w:line="480" w:lineRule="auto"/>
        <w:ind w:left="220" w:right="221" w:firstLine="719"/>
        <w:jc w:val="both"/>
      </w:pPr>
      <w:r>
        <w:rPr>
          <w:b/>
        </w:rPr>
        <w:t>WHEREFORE</w:t>
      </w:r>
      <w:r>
        <w:t>, the Plaintiff respectfully requests that this Court grant her Motion for Leave to Amend Compl</w:t>
      </w:r>
      <w:bookmarkStart w:id="0" w:name="_GoBack"/>
      <w:bookmarkEnd w:id="0"/>
      <w:r>
        <w:t>aint to Clarify Relief Sought and for such other and further relief as to the Court appears proper in the</w:t>
      </w:r>
      <w:r>
        <w:rPr>
          <w:spacing w:val="-1"/>
        </w:rPr>
        <w:t xml:space="preserve"> </w:t>
      </w:r>
      <w:r>
        <w:t>premises.</w:t>
      </w:r>
    </w:p>
    <w:p w14:paraId="7E94F164" w14:textId="77777777" w:rsidR="004D6AC5" w:rsidRDefault="00F00808">
      <w:pPr>
        <w:pStyle w:val="BodyText"/>
        <w:spacing w:line="277" w:lineRule="exact"/>
        <w:ind w:left="1660"/>
      </w:pPr>
      <w:r>
        <w:t>Respectfully submitted this 1</w:t>
      </w:r>
      <w:proofErr w:type="spellStart"/>
      <w:r>
        <w:rPr>
          <w:position w:val="9"/>
          <w:sz w:val="16"/>
        </w:rPr>
        <w:t>st</w:t>
      </w:r>
      <w:proofErr w:type="spellEnd"/>
      <w:r>
        <w:rPr>
          <w:position w:val="9"/>
          <w:sz w:val="16"/>
        </w:rPr>
        <w:t xml:space="preserve"> </w:t>
      </w:r>
      <w:r>
        <w:t xml:space="preserve">day of </w:t>
      </w:r>
      <w:proofErr w:type="gramStart"/>
      <w:r>
        <w:t>August</w:t>
      </w:r>
      <w:r>
        <w:t>,</w:t>
      </w:r>
      <w:proofErr w:type="gramEnd"/>
      <w:r>
        <w:t xml:space="preserve"> 2018.</w:t>
      </w:r>
    </w:p>
    <w:p w14:paraId="32FD8257" w14:textId="77777777" w:rsidR="004D6AC5" w:rsidRDefault="004D6AC5">
      <w:pPr>
        <w:pStyle w:val="BodyText"/>
      </w:pPr>
    </w:p>
    <w:p w14:paraId="427E0492" w14:textId="43286913" w:rsidR="004D6AC5" w:rsidRDefault="00F00808">
      <w:pPr>
        <w:pStyle w:val="BodyText"/>
        <w:ind w:left="4541"/>
      </w:pPr>
      <w:r>
        <w:t>FIRM NAME</w:t>
      </w:r>
    </w:p>
    <w:p w14:paraId="77821B05" w14:textId="3D99E6E9" w:rsidR="004D6AC5" w:rsidRDefault="00F00808">
      <w:pPr>
        <w:spacing w:before="1"/>
        <w:ind w:left="4541"/>
        <w:rPr>
          <w:i/>
          <w:sz w:val="20"/>
        </w:rPr>
      </w:pPr>
      <w:r>
        <w:rPr>
          <w:i/>
          <w:sz w:val="20"/>
        </w:rPr>
        <w:t>s/LAWYER NAME</w:t>
      </w:r>
    </w:p>
    <w:p w14:paraId="555381AE" w14:textId="77777777" w:rsidR="004D6AC5" w:rsidRDefault="00F00808">
      <w:pPr>
        <w:pStyle w:val="BodyText"/>
        <w:spacing w:before="8"/>
        <w:rPr>
          <w:i/>
          <w:sz w:val="19"/>
        </w:rPr>
      </w:pPr>
      <w:r>
        <w:pict w14:anchorId="6A6770F9">
          <v:line id="_x0000_s1027" style="position:absolute;z-index:-251660800;mso-wrap-distance-left:0;mso-wrap-distance-right:0;mso-position-horizontal-relative:page" from="288.05pt,13.55pt" to="498.05pt,13.55pt" strokeweight=".48pt">
            <w10:wrap type="topAndBottom" anchorx="page"/>
          </v:line>
        </w:pict>
      </w:r>
    </w:p>
    <w:p w14:paraId="3A2F2193" w14:textId="77777777" w:rsidR="00F00808" w:rsidRDefault="00F00808" w:rsidP="00F00808">
      <w:pPr>
        <w:ind w:left="4541" w:right="2206"/>
        <w:rPr>
          <w:i/>
          <w:sz w:val="24"/>
        </w:rPr>
      </w:pPr>
    </w:p>
    <w:p w14:paraId="5C33AEEB" w14:textId="5BA73F2A" w:rsidR="004D6AC5" w:rsidRDefault="00F00808" w:rsidP="00F00808">
      <w:pPr>
        <w:ind w:left="4541" w:right="2206"/>
      </w:pPr>
      <w:r>
        <w:rPr>
          <w:i/>
          <w:sz w:val="24"/>
        </w:rPr>
        <w:t>Attorneys for Plaintiff</w:t>
      </w:r>
    </w:p>
    <w:sectPr w:rsidR="004D6AC5">
      <w:pgSz w:w="12240" w:h="15840"/>
      <w:pgMar w:top="1500" w:right="1220" w:bottom="1240" w:left="1220" w:header="0" w:footer="10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B175A" w14:textId="77777777" w:rsidR="00000000" w:rsidRDefault="00F00808">
      <w:r>
        <w:separator/>
      </w:r>
    </w:p>
  </w:endnote>
  <w:endnote w:type="continuationSeparator" w:id="0">
    <w:p w14:paraId="29A61983" w14:textId="77777777" w:rsidR="00000000" w:rsidRDefault="00F0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altName w:val="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CF4B" w14:textId="77777777" w:rsidR="004D6AC5" w:rsidRDefault="00F00808">
    <w:pPr>
      <w:pStyle w:val="BodyText"/>
      <w:spacing w:line="14" w:lineRule="auto"/>
      <w:rPr>
        <w:sz w:val="20"/>
      </w:rPr>
    </w:pPr>
    <w:r>
      <w:pict w14:anchorId="62206CCE">
        <v:shapetype id="_x0000_t202" coordsize="21600,21600" o:spt="202" path="m,l,21600r21600,l21600,xe">
          <v:stroke joinstyle="miter"/>
          <v:path gradientshapeok="t" o:connecttype="rect"/>
        </v:shapetype>
        <v:shape id="_x0000_s2049" type="#_x0000_t202" style="position:absolute;margin-left:301.05pt;margin-top:728.9pt;width:10pt;height:15.3pt;z-index:-251658752;mso-position-horizontal-relative:page;mso-position-vertical-relative:page" filled="f" stroked="f">
          <v:textbox inset="0,0,0,0">
            <w:txbxContent>
              <w:p w14:paraId="10FB16C5" w14:textId="77777777" w:rsidR="004D6AC5" w:rsidRDefault="00F00808">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42510" w14:textId="77777777" w:rsidR="00000000" w:rsidRDefault="00F00808">
      <w:r>
        <w:separator/>
      </w:r>
    </w:p>
  </w:footnote>
  <w:footnote w:type="continuationSeparator" w:id="0">
    <w:p w14:paraId="10FA46FB" w14:textId="77777777" w:rsidR="00000000" w:rsidRDefault="00F00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50634"/>
    <w:multiLevelType w:val="hybridMultilevel"/>
    <w:tmpl w:val="3664260C"/>
    <w:lvl w:ilvl="0" w:tplc="14A092AA">
      <w:start w:val="14"/>
      <w:numFmt w:val="decimal"/>
      <w:lvlText w:val="%1."/>
      <w:lvlJc w:val="left"/>
      <w:pPr>
        <w:ind w:left="220" w:hanging="720"/>
        <w:jc w:val="left"/>
      </w:pPr>
      <w:rPr>
        <w:rFonts w:ascii="Times New Roman" w:eastAsia="Times New Roman" w:hAnsi="Times New Roman" w:cs="Times New Roman" w:hint="default"/>
        <w:spacing w:val="-5"/>
        <w:w w:val="99"/>
        <w:sz w:val="24"/>
        <w:szCs w:val="24"/>
      </w:rPr>
    </w:lvl>
    <w:lvl w:ilvl="1" w:tplc="F2EE1F0C">
      <w:numFmt w:val="bullet"/>
      <w:lvlText w:val="•"/>
      <w:lvlJc w:val="left"/>
      <w:pPr>
        <w:ind w:left="1178" w:hanging="720"/>
      </w:pPr>
      <w:rPr>
        <w:rFonts w:hint="default"/>
      </w:rPr>
    </w:lvl>
    <w:lvl w:ilvl="2" w:tplc="5428D4F4">
      <w:numFmt w:val="bullet"/>
      <w:lvlText w:val="•"/>
      <w:lvlJc w:val="left"/>
      <w:pPr>
        <w:ind w:left="2136" w:hanging="720"/>
      </w:pPr>
      <w:rPr>
        <w:rFonts w:hint="default"/>
      </w:rPr>
    </w:lvl>
    <w:lvl w:ilvl="3" w:tplc="0E24D6AA">
      <w:numFmt w:val="bullet"/>
      <w:lvlText w:val="•"/>
      <w:lvlJc w:val="left"/>
      <w:pPr>
        <w:ind w:left="3094" w:hanging="720"/>
      </w:pPr>
      <w:rPr>
        <w:rFonts w:hint="default"/>
      </w:rPr>
    </w:lvl>
    <w:lvl w:ilvl="4" w:tplc="AFAC109A">
      <w:numFmt w:val="bullet"/>
      <w:lvlText w:val="•"/>
      <w:lvlJc w:val="left"/>
      <w:pPr>
        <w:ind w:left="4052" w:hanging="720"/>
      </w:pPr>
      <w:rPr>
        <w:rFonts w:hint="default"/>
      </w:rPr>
    </w:lvl>
    <w:lvl w:ilvl="5" w:tplc="611CC612">
      <w:numFmt w:val="bullet"/>
      <w:lvlText w:val="•"/>
      <w:lvlJc w:val="left"/>
      <w:pPr>
        <w:ind w:left="5010" w:hanging="720"/>
      </w:pPr>
      <w:rPr>
        <w:rFonts w:hint="default"/>
      </w:rPr>
    </w:lvl>
    <w:lvl w:ilvl="6" w:tplc="3DF2E132">
      <w:numFmt w:val="bullet"/>
      <w:lvlText w:val="•"/>
      <w:lvlJc w:val="left"/>
      <w:pPr>
        <w:ind w:left="5968" w:hanging="720"/>
      </w:pPr>
      <w:rPr>
        <w:rFonts w:hint="default"/>
      </w:rPr>
    </w:lvl>
    <w:lvl w:ilvl="7" w:tplc="D16232E4">
      <w:numFmt w:val="bullet"/>
      <w:lvlText w:val="•"/>
      <w:lvlJc w:val="left"/>
      <w:pPr>
        <w:ind w:left="6926" w:hanging="720"/>
      </w:pPr>
      <w:rPr>
        <w:rFonts w:hint="default"/>
      </w:rPr>
    </w:lvl>
    <w:lvl w:ilvl="8" w:tplc="E378288E">
      <w:numFmt w:val="bullet"/>
      <w:lvlText w:val="•"/>
      <w:lvlJc w:val="left"/>
      <w:pPr>
        <w:ind w:left="7884" w:hanging="720"/>
      </w:pPr>
      <w:rPr>
        <w:rFonts w:hint="default"/>
      </w:rPr>
    </w:lvl>
  </w:abstractNum>
  <w:abstractNum w:abstractNumId="1" w15:restartNumberingAfterBreak="0">
    <w:nsid w:val="2F354E66"/>
    <w:multiLevelType w:val="hybridMultilevel"/>
    <w:tmpl w:val="C9C2BDE0"/>
    <w:lvl w:ilvl="0" w:tplc="B86CBCE2">
      <w:start w:val="1"/>
      <w:numFmt w:val="decimal"/>
      <w:lvlText w:val="%1."/>
      <w:lvlJc w:val="left"/>
      <w:pPr>
        <w:ind w:left="220" w:hanging="720"/>
        <w:jc w:val="left"/>
      </w:pPr>
      <w:rPr>
        <w:rFonts w:ascii="Times New Roman" w:eastAsia="Times New Roman" w:hAnsi="Times New Roman" w:cs="Times New Roman" w:hint="default"/>
        <w:spacing w:val="-27"/>
        <w:w w:val="99"/>
        <w:sz w:val="24"/>
        <w:szCs w:val="24"/>
      </w:rPr>
    </w:lvl>
    <w:lvl w:ilvl="1" w:tplc="C422004A">
      <w:numFmt w:val="bullet"/>
      <w:lvlText w:val="•"/>
      <w:lvlJc w:val="left"/>
      <w:pPr>
        <w:ind w:left="1178" w:hanging="720"/>
      </w:pPr>
      <w:rPr>
        <w:rFonts w:hint="default"/>
      </w:rPr>
    </w:lvl>
    <w:lvl w:ilvl="2" w:tplc="792CF3F8">
      <w:numFmt w:val="bullet"/>
      <w:lvlText w:val="•"/>
      <w:lvlJc w:val="left"/>
      <w:pPr>
        <w:ind w:left="2136" w:hanging="720"/>
      </w:pPr>
      <w:rPr>
        <w:rFonts w:hint="default"/>
      </w:rPr>
    </w:lvl>
    <w:lvl w:ilvl="3" w:tplc="F67CAC26">
      <w:numFmt w:val="bullet"/>
      <w:lvlText w:val="•"/>
      <w:lvlJc w:val="left"/>
      <w:pPr>
        <w:ind w:left="3094" w:hanging="720"/>
      </w:pPr>
      <w:rPr>
        <w:rFonts w:hint="default"/>
      </w:rPr>
    </w:lvl>
    <w:lvl w:ilvl="4" w:tplc="B3AA1CDA">
      <w:numFmt w:val="bullet"/>
      <w:lvlText w:val="•"/>
      <w:lvlJc w:val="left"/>
      <w:pPr>
        <w:ind w:left="4052" w:hanging="720"/>
      </w:pPr>
      <w:rPr>
        <w:rFonts w:hint="default"/>
      </w:rPr>
    </w:lvl>
    <w:lvl w:ilvl="5" w:tplc="1772D7A8">
      <w:numFmt w:val="bullet"/>
      <w:lvlText w:val="•"/>
      <w:lvlJc w:val="left"/>
      <w:pPr>
        <w:ind w:left="5010" w:hanging="720"/>
      </w:pPr>
      <w:rPr>
        <w:rFonts w:hint="default"/>
      </w:rPr>
    </w:lvl>
    <w:lvl w:ilvl="6" w:tplc="FFBC56DA">
      <w:numFmt w:val="bullet"/>
      <w:lvlText w:val="•"/>
      <w:lvlJc w:val="left"/>
      <w:pPr>
        <w:ind w:left="5968" w:hanging="720"/>
      </w:pPr>
      <w:rPr>
        <w:rFonts w:hint="default"/>
      </w:rPr>
    </w:lvl>
    <w:lvl w:ilvl="7" w:tplc="7EC493F2">
      <w:numFmt w:val="bullet"/>
      <w:lvlText w:val="•"/>
      <w:lvlJc w:val="left"/>
      <w:pPr>
        <w:ind w:left="6926" w:hanging="720"/>
      </w:pPr>
      <w:rPr>
        <w:rFonts w:hint="default"/>
      </w:rPr>
    </w:lvl>
    <w:lvl w:ilvl="8" w:tplc="14DEED2E">
      <w:numFmt w:val="bullet"/>
      <w:lvlText w:val="•"/>
      <w:lvlJc w:val="left"/>
      <w:pPr>
        <w:ind w:left="7884"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D6AC5"/>
    <w:rsid w:val="004D6AC5"/>
    <w:rsid w:val="00F0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A673D4"/>
  <w15:docId w15:val="{C28F734E-617B-449C-9DE9-0C6D2F1D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
      <w:ind w:left="3286"/>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220" w:right="218"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Martinez</cp:lastModifiedBy>
  <cp:revision>2</cp:revision>
  <dcterms:created xsi:type="dcterms:W3CDTF">2019-04-02T16:32:00Z</dcterms:created>
  <dcterms:modified xsi:type="dcterms:W3CDTF">2019-04-02T17:24:00Z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LastSaved">
    <vt:filetime>2019-04-02T00:00:00Z</vt:filetime>
  </property>
</Properties>
</file>