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66.360001pt;margin-top:72pt;width:469.65pt;height:350.55pt;mso-position-horizontal-relative:page;mso-position-vertical-relative:page;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20"/>
                  </w:tblGrid>
                  <w:tr>
                    <w:trPr>
                      <w:trHeight w:val="1439" w:hRule="atLeast"/>
                    </w:trPr>
                    <w:tc>
                      <w:tcPr>
                        <w:tcW w:w="5958" w:type="dxa"/>
                      </w:tcPr>
                      <w:p>
                        <w:pPr>
                          <w:pStyle w:val="TableParagraph"/>
                          <w:spacing w:line="211" w:lineRule="auto" w:before="6"/>
                          <w:ind w:right="2584"/>
                          <w:jc w:val="both"/>
                          <w:rPr>
                            <w:sz w:val="24"/>
                          </w:rPr>
                        </w:pPr>
                        <w:r>
                          <w:rPr>
                            <w:sz w:val="24"/>
                          </w:rPr>
                          <w:t>District Court, Criminal Matters Adams County, State of Colorado </w:t>
                        </w:r>
                        <w:r>
                          <w:rPr>
                            <w:b/>
                            <w:sz w:val="24"/>
                          </w:rPr>
                          <w:t>Court Address</w:t>
                        </w:r>
                        <w:r>
                          <w:rPr>
                            <w:sz w:val="24"/>
                          </w:rPr>
                          <w:t>:</w:t>
                        </w:r>
                      </w:p>
                      <w:p>
                        <w:pPr>
                          <w:pStyle w:val="TableParagraph"/>
                          <w:spacing w:line="211" w:lineRule="auto"/>
                          <w:ind w:right="2444"/>
                          <w:rPr>
                            <w:sz w:val="24"/>
                          </w:rPr>
                        </w:pPr>
                        <w:r>
                          <w:rPr>
                            <w:sz w:val="24"/>
                          </w:rPr>
                          <w:t>1100 Judicial Center Drive Brighton, Colorado 80601</w:t>
                        </w:r>
                      </w:p>
                    </w:tc>
                    <w:tc>
                      <w:tcPr>
                        <w:tcW w:w="3420" w:type="dxa"/>
                        <w:vMerge w:val="restart"/>
                      </w:tcPr>
                      <w:p>
                        <w:pPr>
                          <w:pStyle w:val="TableParagraph"/>
                          <w:ind w:left="0"/>
                          <w:rPr>
                            <w:sz w:val="26"/>
                          </w:rPr>
                        </w:pPr>
                      </w:p>
                      <w:p>
                        <w:pPr>
                          <w:pStyle w:val="TableParagraph"/>
                          <w:spacing w:before="1"/>
                          <w:ind w:left="0"/>
                          <w:rPr>
                            <w:sz w:val="35"/>
                          </w:rPr>
                        </w:pPr>
                      </w:p>
                      <w:p>
                        <w:pPr>
                          <w:pStyle w:val="TableParagraph"/>
                          <w:spacing w:line="220" w:lineRule="auto"/>
                          <w:ind w:left="792" w:right="6"/>
                          <w:rPr>
                            <w:rFonts w:ascii="Minion Pro"/>
                            <w:sz w:val="19"/>
                          </w:rPr>
                        </w:pPr>
                        <w:r>
                          <w:rPr>
                            <w:rFonts w:ascii="Minion Pro"/>
                            <w:color w:val="0000FF"/>
                            <w:spacing w:val="-6"/>
                            <w:w w:val="105"/>
                            <w:sz w:val="19"/>
                          </w:rPr>
                          <w:t>DATE </w:t>
                        </w:r>
                        <w:r>
                          <w:rPr>
                            <w:rFonts w:ascii="Minion Pro"/>
                            <w:color w:val="0000FF"/>
                            <w:w w:val="105"/>
                            <w:sz w:val="19"/>
                          </w:rPr>
                          <w:t>FILED: February 23, </w:t>
                        </w:r>
                        <w:r>
                          <w:rPr>
                            <w:rFonts w:ascii="Minion Pro"/>
                            <w:color w:val="0000FF"/>
                            <w:spacing w:val="-3"/>
                            <w:w w:val="105"/>
                            <w:sz w:val="19"/>
                          </w:rPr>
                          <w:t>2017 </w:t>
                        </w:r>
                        <w:r>
                          <w:rPr>
                            <w:rFonts w:ascii="Minion Pro"/>
                            <w:color w:val="0000FF"/>
                            <w:w w:val="105"/>
                            <w:sz w:val="19"/>
                          </w:rPr>
                          <w:t>FILING ID: E1F3CE56D9F23 CASE NUMBER: 2016CR2658</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2"/>
                          <w:ind w:left="0"/>
                          <w:rPr>
                            <w:sz w:val="34"/>
                          </w:rPr>
                        </w:pPr>
                      </w:p>
                      <w:p>
                        <w:pPr>
                          <w:pStyle w:val="TableParagraph"/>
                          <w:spacing w:line="269" w:lineRule="exact"/>
                          <w:ind w:left="514"/>
                          <w:rPr>
                            <w:rFonts w:ascii="Symbol" w:hAnsi="Symbol"/>
                            <w:sz w:val="24"/>
                          </w:rPr>
                        </w:pPr>
                        <w:r>
                          <w:rPr>
                            <w:rFonts w:ascii="Symbol" w:hAnsi="Symbol"/>
                            <w:sz w:val="24"/>
                          </w:rPr>
                          <w:t></w:t>
                        </w:r>
                        <w:r>
                          <w:rPr>
                            <w:rFonts w:ascii="Times New Roman" w:hAnsi="Times New Roman"/>
                            <w:sz w:val="24"/>
                          </w:rPr>
                          <w:t> </w:t>
                        </w:r>
                        <w:r>
                          <w:rPr>
                            <w:sz w:val="24"/>
                          </w:rPr>
                          <w:t>COURT USE ONLY </w:t>
                        </w:r>
                        <w:r>
                          <w:rPr>
                            <w:rFonts w:ascii="Symbol" w:hAnsi="Symbol"/>
                            <w:sz w:val="24"/>
                          </w:rPr>
                          <w:t></w:t>
                        </w:r>
                      </w:p>
                    </w:tc>
                  </w:tr>
                  <w:tr>
                    <w:trPr>
                      <w:trHeight w:val="2400" w:hRule="atLeast"/>
                    </w:trPr>
                    <w:tc>
                      <w:tcPr>
                        <w:tcW w:w="5958" w:type="dxa"/>
                      </w:tcPr>
                      <w:p>
                        <w:pPr>
                          <w:pStyle w:val="TableParagraph"/>
                          <w:spacing w:line="256" w:lineRule="exact" w:before="221"/>
                          <w:rPr>
                            <w:sz w:val="24"/>
                          </w:rPr>
                        </w:pPr>
                        <w:r>
                          <w:rPr>
                            <w:sz w:val="24"/>
                          </w:rPr>
                          <w:t>THE PEOPLE OF THE STATE OF COLORADO,</w:t>
                        </w:r>
                      </w:p>
                      <w:p>
                        <w:pPr>
                          <w:pStyle w:val="TableParagraph"/>
                          <w:spacing w:line="256" w:lineRule="exact"/>
                          <w:rPr>
                            <w:sz w:val="24"/>
                          </w:rPr>
                        </w:pPr>
                        <w:r>
                          <w:rPr>
                            <w:sz w:val="24"/>
                          </w:rPr>
                          <w:t>Plaintiff</w:t>
                        </w:r>
                      </w:p>
                      <w:p>
                        <w:pPr>
                          <w:pStyle w:val="TableParagraph"/>
                          <w:ind w:left="0"/>
                          <w:rPr>
                            <w:sz w:val="26"/>
                          </w:rPr>
                        </w:pPr>
                      </w:p>
                      <w:p>
                        <w:pPr>
                          <w:pStyle w:val="TableParagraph"/>
                          <w:spacing w:before="153"/>
                          <w:rPr>
                            <w:sz w:val="24"/>
                          </w:rPr>
                        </w:pPr>
                        <w:r>
                          <w:rPr>
                            <w:sz w:val="24"/>
                          </w:rPr>
                          <w:t>v.</w:t>
                        </w:r>
                      </w:p>
                      <w:p>
                        <w:pPr>
                          <w:pStyle w:val="TableParagraph"/>
                          <w:spacing w:line="256" w:lineRule="exact" w:before="207"/>
                          <w:rPr>
                            <w:sz w:val="24"/>
                          </w:rPr>
                        </w:pPr>
                        <w:r>
                          <w:rPr>
                            <w:sz w:val="24"/>
                          </w:rPr>
                          <w:t>JAMES WALKER,</w:t>
                        </w:r>
                      </w:p>
                      <w:p>
                        <w:pPr>
                          <w:pStyle w:val="TableParagraph"/>
                          <w:spacing w:line="256" w:lineRule="exact"/>
                          <w:rPr>
                            <w:sz w:val="24"/>
                          </w:rPr>
                        </w:pPr>
                        <w:r>
                          <w:rPr>
                            <w:sz w:val="24"/>
                          </w:rPr>
                          <w:t>Defendant</w:t>
                        </w:r>
                      </w:p>
                    </w:tc>
                    <w:tc>
                      <w:tcPr>
                        <w:tcW w:w="3420" w:type="dxa"/>
                        <w:vMerge/>
                        <w:tcBorders>
                          <w:top w:val="nil"/>
                        </w:tcBorders>
                      </w:tcPr>
                      <w:p>
                        <w:pPr>
                          <w:rPr>
                            <w:sz w:val="2"/>
                            <w:szCs w:val="2"/>
                          </w:rPr>
                        </w:pPr>
                      </w:p>
                    </w:tc>
                  </w:tr>
                  <w:tr>
                    <w:trPr>
                      <w:trHeight w:val="2159" w:hRule="atLeast"/>
                    </w:trPr>
                    <w:tc>
                      <w:tcPr>
                        <w:tcW w:w="5958" w:type="dxa"/>
                      </w:tcPr>
                      <w:p>
                        <w:pPr>
                          <w:pStyle w:val="TableParagraph"/>
                          <w:spacing w:line="237" w:lineRule="exact"/>
                          <w:rPr>
                            <w:b/>
                            <w:sz w:val="24"/>
                          </w:rPr>
                        </w:pPr>
                        <w:r>
                          <w:rPr>
                            <w:b/>
                            <w:sz w:val="24"/>
                          </w:rPr>
                          <w:t>Attorney:</w:t>
                        </w:r>
                      </w:p>
                      <w:p>
                        <w:pPr>
                          <w:pStyle w:val="TableParagraph"/>
                          <w:spacing w:line="239" w:lineRule="exact"/>
                          <w:rPr>
                            <w:sz w:val="24"/>
                          </w:rPr>
                        </w:pPr>
                        <w:r>
                          <w:rPr>
                            <w:sz w:val="24"/>
                          </w:rPr>
                          <w:t>Danielle M. McCarthy, #34573</w:t>
                        </w:r>
                      </w:p>
                      <w:p>
                        <w:pPr>
                          <w:pStyle w:val="TableParagraph"/>
                          <w:spacing w:line="241" w:lineRule="exact"/>
                          <w:rPr>
                            <w:b/>
                            <w:sz w:val="24"/>
                          </w:rPr>
                        </w:pPr>
                        <w:r>
                          <w:rPr>
                            <w:b/>
                            <w:sz w:val="24"/>
                          </w:rPr>
                          <w:t>DANIELLE M. MCCARTHY P.C.</w:t>
                        </w:r>
                      </w:p>
                      <w:p>
                        <w:pPr>
                          <w:pStyle w:val="TableParagraph"/>
                          <w:spacing w:line="240" w:lineRule="exact"/>
                          <w:rPr>
                            <w:sz w:val="24"/>
                          </w:rPr>
                        </w:pPr>
                        <w:r>
                          <w:rPr>
                            <w:sz w:val="24"/>
                          </w:rPr>
                          <w:t>1175 Osage Street, Suite 200</w:t>
                        </w:r>
                      </w:p>
                      <w:p>
                        <w:pPr>
                          <w:pStyle w:val="TableParagraph"/>
                          <w:spacing w:line="240" w:lineRule="exact"/>
                          <w:rPr>
                            <w:sz w:val="24"/>
                          </w:rPr>
                        </w:pPr>
                        <w:r>
                          <w:rPr>
                            <w:sz w:val="24"/>
                          </w:rPr>
                          <w:t>Denver, Colorado 80204</w:t>
                        </w:r>
                      </w:p>
                      <w:p>
                        <w:pPr>
                          <w:pStyle w:val="TableParagraph"/>
                          <w:spacing w:line="240" w:lineRule="exact"/>
                          <w:rPr>
                            <w:sz w:val="24"/>
                          </w:rPr>
                        </w:pPr>
                        <w:r>
                          <w:rPr>
                            <w:sz w:val="24"/>
                          </w:rPr>
                          <w:t>Phone: (303) 350-1550</w:t>
                        </w:r>
                      </w:p>
                      <w:p>
                        <w:pPr>
                          <w:pStyle w:val="TableParagraph"/>
                          <w:spacing w:line="240" w:lineRule="exact"/>
                          <w:rPr>
                            <w:sz w:val="24"/>
                          </w:rPr>
                        </w:pPr>
                        <w:r>
                          <w:rPr>
                            <w:sz w:val="24"/>
                          </w:rPr>
                          <w:t>Facsimile: (303) 350-1555</w:t>
                        </w:r>
                      </w:p>
                      <w:p>
                        <w:pPr>
                          <w:pStyle w:val="TableParagraph"/>
                          <w:spacing w:line="256" w:lineRule="exact"/>
                          <w:rPr>
                            <w:sz w:val="24"/>
                          </w:rPr>
                        </w:pPr>
                        <w:r>
                          <w:rPr>
                            <w:sz w:val="24"/>
                          </w:rPr>
                          <w:t>E-mai</w:t>
                        </w:r>
                        <w:hyperlink r:id="rId5">
                          <w:r>
                            <w:rPr>
                              <w:sz w:val="24"/>
                            </w:rPr>
                            <w:t>l: daniellemccarthy11@gmail.com</w:t>
                          </w:r>
                        </w:hyperlink>
                      </w:p>
                    </w:tc>
                    <w:tc>
                      <w:tcPr>
                        <w:tcW w:w="3420" w:type="dxa"/>
                      </w:tcPr>
                      <w:p>
                        <w:pPr>
                          <w:pStyle w:val="TableParagraph"/>
                          <w:tabs>
                            <w:tab w:pos="1618" w:val="left" w:leader="none"/>
                          </w:tabs>
                          <w:spacing w:line="417" w:lineRule="auto" w:before="218"/>
                          <w:ind w:right="757"/>
                          <w:rPr>
                            <w:sz w:val="24"/>
                          </w:rPr>
                        </w:pPr>
                        <w:r>
                          <w:rPr>
                            <w:b/>
                            <w:sz w:val="24"/>
                          </w:rPr>
                          <w:t>Case Number</w:t>
                        </w:r>
                        <w:r>
                          <w:rPr>
                            <w:sz w:val="24"/>
                          </w:rPr>
                          <w:t>: 16CR2658 </w:t>
                        </w:r>
                        <w:r>
                          <w:rPr>
                            <w:b/>
                            <w:sz w:val="24"/>
                          </w:rPr>
                          <w:t>Division</w:t>
                        </w:r>
                        <w:r>
                          <w:rPr>
                            <w:sz w:val="24"/>
                          </w:rPr>
                          <w:t>:</w:t>
                          <w:tab/>
                          <w:t>G </w:t>
                        </w:r>
                        <w:r>
                          <w:rPr>
                            <w:b/>
                            <w:sz w:val="24"/>
                          </w:rPr>
                          <w:t>Courtroom</w:t>
                        </w:r>
                        <w:r>
                          <w:rPr>
                            <w:sz w:val="24"/>
                          </w:rPr>
                          <w:t>:</w:t>
                          <w:tab/>
                          <w:t>406</w:t>
                        </w:r>
                      </w:p>
                    </w:tc>
                  </w:tr>
                  <w:tr>
                    <w:trPr>
                      <w:trHeight w:val="960" w:hRule="atLeast"/>
                    </w:trPr>
                    <w:tc>
                      <w:tcPr>
                        <w:tcW w:w="9378" w:type="dxa"/>
                        <w:gridSpan w:val="2"/>
                      </w:tcPr>
                      <w:p>
                        <w:pPr>
                          <w:pStyle w:val="TableParagraph"/>
                          <w:spacing w:before="8"/>
                          <w:ind w:left="0"/>
                          <w:rPr>
                            <w:sz w:val="22"/>
                          </w:rPr>
                        </w:pPr>
                      </w:p>
                      <w:p>
                        <w:pPr>
                          <w:pStyle w:val="TableParagraph"/>
                          <w:spacing w:line="194" w:lineRule="auto"/>
                          <w:ind w:left="1755" w:right="185" w:hanging="1540"/>
                          <w:rPr>
                            <w:b/>
                            <w:sz w:val="19"/>
                          </w:rPr>
                        </w:pPr>
                        <w:r>
                          <w:rPr>
                            <w:b/>
                            <w:sz w:val="24"/>
                          </w:rPr>
                          <w:t>M</w:t>
                        </w:r>
                        <w:r>
                          <w:rPr>
                            <w:b/>
                            <w:sz w:val="19"/>
                          </w:rPr>
                          <w:t>OTION </w:t>
                        </w:r>
                        <w:r>
                          <w:rPr>
                            <w:b/>
                            <w:sz w:val="24"/>
                          </w:rPr>
                          <w:t>R</w:t>
                        </w:r>
                        <w:r>
                          <w:rPr>
                            <w:b/>
                            <w:sz w:val="19"/>
                          </w:rPr>
                          <w:t>EQUESTING </w:t>
                        </w:r>
                        <w:r>
                          <w:rPr>
                            <w:b/>
                            <w:sz w:val="24"/>
                          </w:rPr>
                          <w:t>N</w:t>
                        </w:r>
                        <w:r>
                          <w:rPr>
                            <w:b/>
                            <w:sz w:val="19"/>
                          </w:rPr>
                          <w:t>OTICE OF </w:t>
                        </w:r>
                        <w:r>
                          <w:rPr>
                            <w:b/>
                            <w:sz w:val="24"/>
                          </w:rPr>
                          <w:t>P</w:t>
                        </w:r>
                        <w:r>
                          <w:rPr>
                            <w:b/>
                            <w:sz w:val="19"/>
                          </w:rPr>
                          <w:t>ROSECUTION</w:t>
                        </w:r>
                        <w:r>
                          <w:rPr>
                            <w:b/>
                            <w:sz w:val="24"/>
                          </w:rPr>
                          <w:t>’</w:t>
                        </w:r>
                        <w:r>
                          <w:rPr>
                            <w:b/>
                            <w:sz w:val="19"/>
                          </w:rPr>
                          <w:t>S </w:t>
                        </w:r>
                        <w:r>
                          <w:rPr>
                            <w:b/>
                            <w:sz w:val="24"/>
                          </w:rPr>
                          <w:t>I</w:t>
                        </w:r>
                        <w:r>
                          <w:rPr>
                            <w:b/>
                            <w:sz w:val="19"/>
                          </w:rPr>
                          <w:t>NTENT TO </w:t>
                        </w:r>
                        <w:r>
                          <w:rPr>
                            <w:b/>
                            <w:sz w:val="24"/>
                          </w:rPr>
                          <w:t>I</w:t>
                        </w:r>
                        <w:r>
                          <w:rPr>
                            <w:b/>
                            <w:sz w:val="19"/>
                          </w:rPr>
                          <w:t>NTRODUCE </w:t>
                        </w:r>
                        <w:r>
                          <w:rPr>
                            <w:b/>
                            <w:sz w:val="24"/>
                          </w:rPr>
                          <w:t>A</w:t>
                        </w:r>
                        <w:r>
                          <w:rPr>
                            <w:b/>
                            <w:sz w:val="19"/>
                          </w:rPr>
                          <w:t>LLEGED </w:t>
                        </w:r>
                        <w:r>
                          <w:rPr>
                            <w:b/>
                            <w:sz w:val="24"/>
                          </w:rPr>
                          <w:t>S</w:t>
                        </w:r>
                        <w:r>
                          <w:rPr>
                            <w:b/>
                            <w:sz w:val="19"/>
                          </w:rPr>
                          <w:t>IMILAR </w:t>
                        </w:r>
                        <w:r>
                          <w:rPr>
                            <w:b/>
                            <w:sz w:val="24"/>
                          </w:rPr>
                          <w:t>T</w:t>
                        </w:r>
                        <w:r>
                          <w:rPr>
                            <w:b/>
                            <w:sz w:val="19"/>
                          </w:rPr>
                          <w:t>RANSACTION </w:t>
                        </w:r>
                        <w:r>
                          <w:rPr>
                            <w:b/>
                            <w:sz w:val="24"/>
                          </w:rPr>
                          <w:t>E</w:t>
                        </w:r>
                        <w:r>
                          <w:rPr>
                            <w:b/>
                            <w:sz w:val="19"/>
                          </w:rPr>
                          <w:t>VIDENCE OR </w:t>
                        </w:r>
                        <w:r>
                          <w:rPr>
                            <w:b/>
                            <w:sz w:val="24"/>
                          </w:rPr>
                          <w:t>A</w:t>
                        </w:r>
                        <w:r>
                          <w:rPr>
                            <w:b/>
                            <w:sz w:val="19"/>
                          </w:rPr>
                          <w:t>LLEGED </w:t>
                        </w:r>
                        <w:r>
                          <w:rPr>
                            <w:rFonts w:ascii="Arial" w:hAnsi="Arial"/>
                            <w:b/>
                            <w:i/>
                            <w:sz w:val="25"/>
                          </w:rPr>
                          <w:t>R</w:t>
                        </w:r>
                        <w:r>
                          <w:rPr>
                            <w:rFonts w:ascii="Arial" w:hAnsi="Arial"/>
                            <w:b/>
                            <w:i/>
                            <w:sz w:val="20"/>
                          </w:rPr>
                          <w:t>ES </w:t>
                        </w:r>
                        <w:r>
                          <w:rPr>
                            <w:rFonts w:ascii="Arial" w:hAnsi="Arial"/>
                            <w:b/>
                            <w:i/>
                            <w:sz w:val="25"/>
                          </w:rPr>
                          <w:t>G</w:t>
                        </w:r>
                        <w:r>
                          <w:rPr>
                            <w:rFonts w:ascii="Arial" w:hAnsi="Arial"/>
                            <w:b/>
                            <w:i/>
                            <w:sz w:val="20"/>
                          </w:rPr>
                          <w:t>ESTAE </w:t>
                        </w:r>
                        <w:r>
                          <w:rPr>
                            <w:b/>
                            <w:sz w:val="24"/>
                          </w:rPr>
                          <w:t>E</w:t>
                        </w:r>
                        <w:r>
                          <w:rPr>
                            <w:b/>
                            <w:sz w:val="19"/>
                          </w:rPr>
                          <w:t>VIDENCE</w:t>
                        </w:r>
                      </w:p>
                    </w:tc>
                  </w:tr>
                </w:tbl>
                <w:p>
                  <w:pPr>
                    <w:pStyle w:val="BodyText"/>
                  </w:pPr>
                </w:p>
              </w:txbxContent>
            </v:textbox>
            <w10:wrap type="none"/>
          </v:shape>
        </w:pict>
      </w:r>
    </w:p>
    <w:p>
      <w:pPr>
        <w:pStyle w:val="BodyText"/>
        <w:rPr>
          <w:rFonts w:ascii="Times New Roman"/>
          <w:sz w:val="20"/>
        </w:rPr>
      </w:pPr>
    </w:p>
    <w:p>
      <w:pPr>
        <w:spacing w:before="229"/>
        <w:ind w:left="9473" w:right="0" w:firstLine="0"/>
        <w:jc w:val="left"/>
        <w:rPr>
          <w:rFonts w:ascii="Minion Pro"/>
          <w:sz w:val="19"/>
        </w:rPr>
      </w:pPr>
      <w:r>
        <w:rPr>
          <w:rFonts w:ascii="Minion Pro"/>
          <w:color w:val="0000FF"/>
          <w:w w:val="105"/>
          <w:sz w:val="19"/>
        </w:rPr>
        <w:t>4:13 PM</w: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4"/>
        <w:rPr>
          <w:rFonts w:ascii="Minion Pro"/>
          <w:sz w:val="26"/>
        </w:rPr>
      </w:pPr>
    </w:p>
    <w:p>
      <w:pPr>
        <w:pStyle w:val="BodyText"/>
        <w:spacing w:line="204" w:lineRule="auto"/>
        <w:ind w:left="219" w:right="656" w:firstLine="720"/>
        <w:jc w:val="both"/>
      </w:pPr>
      <w:r>
        <w:rPr/>
        <w:t>Mr. James Walker requests the Court order the prosecution to specify any instances of alleged prior crimes, wrongs, or bad acts it intends to rely on to prove motive, opportunity, intent, preparation, plan, knowledge, identity, or absence of mistake or accident or alleged </w:t>
      </w:r>
      <w:r>
        <w:rPr>
          <w:i/>
        </w:rPr>
        <w:t>res </w:t>
      </w:r>
      <w:r>
        <w:rPr>
          <w:i/>
        </w:rPr>
        <w:t>gestae </w:t>
      </w:r>
      <w:r>
        <w:rPr/>
        <w:t>evidence that it intends to introduce as evidence at Mr. Walker’s trial. Additionally, the defendant requests that this Court require the prosecution to prove prior to trial by the appropriate standard that evidence of these acts should be admitted at trial.</w:t>
      </w:r>
    </w:p>
    <w:p>
      <w:pPr>
        <w:spacing w:before="215"/>
        <w:ind w:left="939" w:right="0" w:firstLine="0"/>
        <w:jc w:val="left"/>
        <w:rPr>
          <w:b/>
          <w:sz w:val="24"/>
        </w:rPr>
      </w:pPr>
      <w:r>
        <w:rPr>
          <w:b/>
          <w:sz w:val="24"/>
        </w:rPr>
        <w:t>AS GROUNDS:</w:t>
      </w:r>
    </w:p>
    <w:p>
      <w:pPr>
        <w:pStyle w:val="BodyText"/>
        <w:spacing w:before="3"/>
        <w:rPr>
          <w:b/>
          <w:sz w:val="20"/>
        </w:rPr>
      </w:pPr>
    </w:p>
    <w:p>
      <w:pPr>
        <w:pStyle w:val="ListParagraph"/>
        <w:numPr>
          <w:ilvl w:val="0"/>
          <w:numId w:val="1"/>
        </w:numPr>
        <w:tabs>
          <w:tab w:pos="1711" w:val="left" w:leader="none"/>
          <w:tab w:pos="1712" w:val="left" w:leader="none"/>
        </w:tabs>
        <w:spacing w:line="211" w:lineRule="auto" w:before="0" w:after="0"/>
        <w:ind w:left="220" w:right="657" w:firstLine="720"/>
        <w:jc w:val="both"/>
        <w:rPr>
          <w:sz w:val="24"/>
        </w:rPr>
      </w:pPr>
      <w:r>
        <w:rPr>
          <w:sz w:val="24"/>
        </w:rPr>
        <w:t>The admissibility of other criminal acts by the Defendant is strictly limited by the Colorado Rules of Evidence and the case law that has defined these</w:t>
      </w:r>
      <w:r>
        <w:rPr>
          <w:spacing w:val="-12"/>
          <w:sz w:val="24"/>
        </w:rPr>
        <w:t> </w:t>
      </w:r>
      <w:r>
        <w:rPr>
          <w:sz w:val="24"/>
        </w:rPr>
        <w:t>rules.</w:t>
      </w:r>
    </w:p>
    <w:p>
      <w:pPr>
        <w:pStyle w:val="BodyText"/>
        <w:spacing w:before="10"/>
        <w:rPr>
          <w:sz w:val="21"/>
        </w:rPr>
      </w:pPr>
    </w:p>
    <w:p>
      <w:pPr>
        <w:pStyle w:val="ListParagraph"/>
        <w:numPr>
          <w:ilvl w:val="0"/>
          <w:numId w:val="1"/>
        </w:numPr>
        <w:tabs>
          <w:tab w:pos="1659" w:val="left" w:leader="none"/>
          <w:tab w:pos="1660" w:val="left" w:leader="none"/>
        </w:tabs>
        <w:spacing w:line="201" w:lineRule="auto" w:before="1" w:after="0"/>
        <w:ind w:left="220" w:right="657" w:firstLine="720"/>
        <w:jc w:val="both"/>
        <w:rPr>
          <w:sz w:val="24"/>
        </w:rPr>
      </w:pPr>
      <w:r>
        <w:rPr>
          <w:sz w:val="24"/>
        </w:rPr>
        <w:t>The Court must determine by a preponderance of the evidence that the other crime occurred and that defendant committed the crime. </w:t>
      </w:r>
      <w:r>
        <w:rPr>
          <w:i/>
          <w:sz w:val="24"/>
        </w:rPr>
        <w:t>People v. Garner</w:t>
      </w:r>
      <w:r>
        <w:rPr>
          <w:sz w:val="24"/>
        </w:rPr>
        <w:t>, 806 P.2d 366 (Colo. 1991).</w:t>
      </w:r>
    </w:p>
    <w:p>
      <w:pPr>
        <w:pStyle w:val="BodyText"/>
        <w:spacing w:before="5"/>
        <w:rPr>
          <w:sz w:val="10"/>
        </w:rPr>
      </w:pPr>
    </w:p>
    <w:p>
      <w:pPr>
        <w:pStyle w:val="ListParagraph"/>
        <w:numPr>
          <w:ilvl w:val="0"/>
          <w:numId w:val="1"/>
        </w:numPr>
        <w:tabs>
          <w:tab w:pos="1659" w:val="left" w:leader="none"/>
          <w:tab w:pos="1660" w:val="left" w:leader="none"/>
        </w:tabs>
        <w:spacing w:line="211" w:lineRule="auto" w:before="126" w:after="0"/>
        <w:ind w:left="220" w:right="657" w:firstLine="720"/>
        <w:jc w:val="both"/>
        <w:rPr>
          <w:sz w:val="24"/>
        </w:rPr>
      </w:pPr>
      <w:r>
        <w:rPr>
          <w:sz w:val="24"/>
        </w:rPr>
        <w:t>It is uncertain if prosecution witnesses will testify that Mr. Walker has previously charged and uncharged</w:t>
      </w:r>
      <w:r>
        <w:rPr>
          <w:spacing w:val="-2"/>
          <w:sz w:val="24"/>
        </w:rPr>
        <w:t> </w:t>
      </w:r>
      <w:r>
        <w:rPr>
          <w:sz w:val="24"/>
        </w:rPr>
        <w:t>acts.</w:t>
      </w:r>
    </w:p>
    <w:p>
      <w:pPr>
        <w:pStyle w:val="BodyText"/>
        <w:spacing w:before="5"/>
        <w:rPr>
          <w:sz w:val="21"/>
        </w:rPr>
      </w:pPr>
    </w:p>
    <w:p>
      <w:pPr>
        <w:pStyle w:val="ListParagraph"/>
        <w:numPr>
          <w:ilvl w:val="0"/>
          <w:numId w:val="1"/>
        </w:numPr>
        <w:tabs>
          <w:tab w:pos="1659" w:val="left" w:leader="none"/>
          <w:tab w:pos="1660" w:val="left" w:leader="none"/>
        </w:tabs>
        <w:spacing w:line="206" w:lineRule="auto" w:before="1" w:after="0"/>
        <w:ind w:left="220" w:right="657" w:firstLine="720"/>
        <w:jc w:val="both"/>
        <w:rPr>
          <w:sz w:val="24"/>
        </w:rPr>
      </w:pPr>
      <w:r>
        <w:rPr>
          <w:sz w:val="24"/>
        </w:rPr>
        <w:t>C.R.E. 404(b) does not specifically require pretrial notice, although the Court of Appeals has held that there may be circumstances in which pretrial notice is “necessary to avoid prejudicial surprise to a defendant”. </w:t>
      </w:r>
      <w:r>
        <w:rPr>
          <w:i/>
          <w:sz w:val="24"/>
        </w:rPr>
        <w:t>People v. Warren</w:t>
      </w:r>
      <w:r>
        <w:rPr>
          <w:sz w:val="24"/>
        </w:rPr>
        <w:t>, 55 P.3d 809. para. 13 (Colo.App. 2002). Should</w:t>
      </w:r>
      <w:r>
        <w:rPr>
          <w:spacing w:val="20"/>
          <w:sz w:val="24"/>
        </w:rPr>
        <w:t> </w:t>
      </w:r>
      <w:r>
        <w:rPr>
          <w:sz w:val="24"/>
        </w:rPr>
        <w:t>the</w:t>
      </w:r>
      <w:r>
        <w:rPr>
          <w:spacing w:val="19"/>
          <w:sz w:val="24"/>
        </w:rPr>
        <w:t> </w:t>
      </w:r>
      <w:r>
        <w:rPr>
          <w:sz w:val="24"/>
        </w:rPr>
        <w:t>prosecution</w:t>
      </w:r>
      <w:r>
        <w:rPr>
          <w:spacing w:val="20"/>
          <w:sz w:val="24"/>
        </w:rPr>
        <w:t> </w:t>
      </w:r>
      <w:r>
        <w:rPr>
          <w:sz w:val="24"/>
        </w:rPr>
        <w:t>seek</w:t>
      </w:r>
      <w:r>
        <w:rPr>
          <w:spacing w:val="21"/>
          <w:sz w:val="24"/>
        </w:rPr>
        <w:t> </w:t>
      </w:r>
      <w:r>
        <w:rPr>
          <w:sz w:val="24"/>
        </w:rPr>
        <w:t>to</w:t>
      </w:r>
      <w:r>
        <w:rPr>
          <w:spacing w:val="20"/>
          <w:sz w:val="24"/>
        </w:rPr>
        <w:t> </w:t>
      </w:r>
      <w:r>
        <w:rPr>
          <w:sz w:val="24"/>
        </w:rPr>
        <w:t>introduce</w:t>
      </w:r>
      <w:r>
        <w:rPr>
          <w:spacing w:val="21"/>
          <w:sz w:val="24"/>
        </w:rPr>
        <w:t> </w:t>
      </w:r>
      <w:r>
        <w:rPr>
          <w:sz w:val="24"/>
        </w:rPr>
        <w:t>alleged</w:t>
      </w:r>
      <w:r>
        <w:rPr>
          <w:spacing w:val="21"/>
          <w:sz w:val="24"/>
        </w:rPr>
        <w:t> </w:t>
      </w:r>
      <w:r>
        <w:rPr>
          <w:sz w:val="24"/>
        </w:rPr>
        <w:t>similar</w:t>
      </w:r>
      <w:r>
        <w:rPr>
          <w:spacing w:val="21"/>
          <w:sz w:val="24"/>
        </w:rPr>
        <w:t> </w:t>
      </w:r>
      <w:r>
        <w:rPr>
          <w:sz w:val="24"/>
        </w:rPr>
        <w:t>transaction</w:t>
      </w:r>
      <w:r>
        <w:rPr>
          <w:spacing w:val="21"/>
          <w:sz w:val="24"/>
        </w:rPr>
        <w:t> </w:t>
      </w:r>
      <w:r>
        <w:rPr>
          <w:sz w:val="24"/>
        </w:rPr>
        <w:t>evidence</w:t>
      </w:r>
      <w:r>
        <w:rPr>
          <w:spacing w:val="20"/>
          <w:sz w:val="24"/>
        </w:rPr>
        <w:t> </w:t>
      </w:r>
      <w:r>
        <w:rPr>
          <w:sz w:val="24"/>
        </w:rPr>
        <w:t>from</w:t>
      </w:r>
      <w:r>
        <w:rPr>
          <w:spacing w:val="19"/>
          <w:sz w:val="24"/>
        </w:rPr>
        <w:t> </w:t>
      </w:r>
      <w:r>
        <w:rPr>
          <w:sz w:val="24"/>
        </w:rPr>
        <w:t>uncharged</w:t>
      </w:r>
    </w:p>
    <w:p>
      <w:pPr>
        <w:spacing w:after="0" w:line="206" w:lineRule="auto"/>
        <w:jc w:val="both"/>
        <w:rPr>
          <w:sz w:val="24"/>
        </w:rPr>
        <w:sectPr>
          <w:type w:val="continuous"/>
          <w:pgSz w:w="12240" w:h="15840"/>
          <w:pgMar w:top="1440" w:bottom="280" w:left="1220" w:right="780"/>
        </w:sectPr>
      </w:pPr>
    </w:p>
    <w:p>
      <w:pPr>
        <w:pStyle w:val="BodyText"/>
        <w:spacing w:line="211" w:lineRule="auto" w:before="106"/>
        <w:ind w:left="219" w:right="657"/>
        <w:jc w:val="both"/>
      </w:pPr>
      <w:r>
        <w:rPr/>
        <w:t>and previously undisclosed incidents, it would be necessary to preserve Mr. Walker’s rights to due process and a fair trial to have full disclosure of the allegations to allow for investigation and trial preparation well in advance of his trial or motions hearing.</w:t>
      </w:r>
    </w:p>
    <w:p>
      <w:pPr>
        <w:pStyle w:val="ListParagraph"/>
        <w:numPr>
          <w:ilvl w:val="0"/>
          <w:numId w:val="1"/>
        </w:numPr>
        <w:tabs>
          <w:tab w:pos="1659" w:val="left" w:leader="none"/>
          <w:tab w:pos="1660" w:val="left" w:leader="none"/>
        </w:tabs>
        <w:spacing w:line="204" w:lineRule="auto" w:before="228" w:after="0"/>
        <w:ind w:left="220" w:right="657" w:firstLine="720"/>
        <w:jc w:val="both"/>
        <w:rPr>
          <w:sz w:val="24"/>
        </w:rPr>
      </w:pPr>
      <w:r>
        <w:rPr>
          <w:i/>
          <w:sz w:val="24"/>
        </w:rPr>
        <w:t>Res Gestae </w:t>
      </w:r>
      <w:r>
        <w:rPr>
          <w:sz w:val="24"/>
        </w:rPr>
        <w:t>has been defined as evidence of “criminal conduct that occurs contemporaneously with or is part and parcel of the crime charged” and is not subject to the special procedural safeguards if the admission of that evidence is necessary to help the fact- finder understand the “context” in which the alleged crime occurred. </w:t>
      </w:r>
      <w:r>
        <w:rPr>
          <w:i/>
          <w:sz w:val="24"/>
        </w:rPr>
        <w:t>People v. Quintana</w:t>
      </w:r>
      <w:r>
        <w:rPr>
          <w:sz w:val="24"/>
        </w:rPr>
        <w:t>, 882 P.2d 1366 (Colo. 1994); </w:t>
      </w:r>
      <w:r>
        <w:rPr>
          <w:i/>
          <w:sz w:val="24"/>
        </w:rPr>
        <w:t>People v. Czemerynaki</w:t>
      </w:r>
      <w:r>
        <w:rPr>
          <w:sz w:val="24"/>
        </w:rPr>
        <w:t>, 786 P.2d 1100 (Colo. 1990); </w:t>
      </w:r>
      <w:r>
        <w:rPr>
          <w:i/>
          <w:sz w:val="24"/>
        </w:rPr>
        <w:t>People v. Lindsey</w:t>
      </w:r>
      <w:r>
        <w:rPr>
          <w:sz w:val="24"/>
        </w:rPr>
        <w:t>, 805 P.2d 1134 (Colo. App.</w:t>
      </w:r>
      <w:r>
        <w:rPr>
          <w:spacing w:val="-1"/>
          <w:sz w:val="24"/>
        </w:rPr>
        <w:t> </w:t>
      </w:r>
      <w:r>
        <w:rPr>
          <w:sz w:val="24"/>
        </w:rPr>
        <w:t>1990).</w:t>
      </w:r>
    </w:p>
    <w:p>
      <w:pPr>
        <w:pStyle w:val="ListParagraph"/>
        <w:numPr>
          <w:ilvl w:val="0"/>
          <w:numId w:val="1"/>
        </w:numPr>
        <w:tabs>
          <w:tab w:pos="1659" w:val="left" w:leader="none"/>
          <w:tab w:pos="1660" w:val="left" w:leader="none"/>
        </w:tabs>
        <w:spacing w:line="201" w:lineRule="auto" w:before="232" w:after="0"/>
        <w:ind w:left="220" w:right="657" w:firstLine="720"/>
        <w:jc w:val="both"/>
        <w:rPr>
          <w:sz w:val="24"/>
        </w:rPr>
      </w:pPr>
      <w:r>
        <w:rPr>
          <w:i/>
          <w:sz w:val="24"/>
        </w:rPr>
        <w:t>Res Gestae </w:t>
      </w:r>
      <w:r>
        <w:rPr>
          <w:sz w:val="24"/>
        </w:rPr>
        <w:t>evidence is not automatically admissible. It is still subject to exclusion if its probative value is substantially outweighed by the possibility of unfair prejudice to the accused. </w:t>
      </w:r>
      <w:r>
        <w:rPr>
          <w:i/>
          <w:sz w:val="24"/>
        </w:rPr>
        <w:t>CRE 403</w:t>
      </w:r>
      <w:r>
        <w:rPr>
          <w:sz w:val="24"/>
        </w:rPr>
        <w:t>; </w:t>
      </w:r>
      <w:r>
        <w:rPr>
          <w:i/>
          <w:sz w:val="24"/>
        </w:rPr>
        <w:t>People v. Czemerynski</w:t>
      </w:r>
      <w:r>
        <w:rPr>
          <w:sz w:val="24"/>
        </w:rPr>
        <w:t>,</w:t>
      </w:r>
      <w:r>
        <w:rPr>
          <w:spacing w:val="-4"/>
          <w:sz w:val="24"/>
        </w:rPr>
        <w:t> </w:t>
      </w:r>
      <w:r>
        <w:rPr>
          <w:i/>
          <w:sz w:val="24"/>
        </w:rPr>
        <w:t>supra</w:t>
      </w:r>
      <w:r>
        <w:rPr>
          <w:sz w:val="24"/>
        </w:rPr>
        <w:t>.</w:t>
      </w:r>
    </w:p>
    <w:p>
      <w:pPr>
        <w:pStyle w:val="BodyText"/>
        <w:spacing w:line="211" w:lineRule="auto" w:before="242"/>
        <w:ind w:left="219" w:right="656" w:firstLine="720"/>
        <w:jc w:val="both"/>
      </w:pPr>
      <w:r>
        <w:rPr/>
        <w:t>WHEREFORE, Mr. Walker makes all of these motions, and all other motions and objections during all proceedings in this case, whether or not explicitly stated at the time of the making of the motion or objection, under the Due Process, Right to Counsel, Confrontation, Right to Remain Silent, Privilege Against Self Incrimination, Compulsory Process, Ex Post Facto, Trial by Jury, Equal Protection, Right to Appeal and Cruel and Unusual Punishment Clauses of the federal and Colorado Constitutions, and Article II, §§ 3, 6, 7, 10, 11, 16, 18, 20, 23, 25, and 28, of the Colorado Constitution, and Article I, § 9, and the First, Fourth, Fifth, Sixth, Eighth, Ninth, Tenth, and Fourteenth Amendments to the U.S. Constitution. All authorities and citations noted herein apply to and support all requests for relief</w:t>
      </w:r>
      <w:r>
        <w:rPr>
          <w:spacing w:val="-8"/>
        </w:rPr>
        <w:t> </w:t>
      </w:r>
      <w:r>
        <w:rPr/>
        <w:t>herein.</w:t>
      </w:r>
    </w:p>
    <w:p>
      <w:pPr>
        <w:pStyle w:val="BodyText"/>
        <w:spacing w:line="633" w:lineRule="auto" w:before="216"/>
        <w:ind w:left="219" w:right="5592"/>
      </w:pPr>
      <w:bookmarkStart w:name="Dated:  Thursday, February 23, 17." w:id="1"/>
      <w:bookmarkEnd w:id="1"/>
      <w:r>
        <w:rPr/>
      </w:r>
      <w:r>
        <w:rPr/>
        <w:t>Dated: Thursday, February 23, 17. Respectfully Submitted,</w:t>
      </w:r>
    </w:p>
    <w:p>
      <w:pPr>
        <w:pStyle w:val="BodyText"/>
        <w:spacing w:before="2"/>
        <w:rPr>
          <w:sz w:val="21"/>
        </w:rPr>
      </w:pPr>
    </w:p>
    <w:p>
      <w:pPr>
        <w:pStyle w:val="BodyText"/>
        <w:spacing w:before="1"/>
        <w:ind w:left="560" w:right="6310"/>
        <w:jc w:val="center"/>
      </w:pPr>
      <w:r>
        <w:rPr/>
        <w:t>DANIELLE M. MCCARTHY, P.C.</w:t>
      </w:r>
    </w:p>
    <w:p>
      <w:pPr>
        <w:pStyle w:val="BodyText"/>
        <w:spacing w:before="5"/>
        <w:rPr>
          <w:sz w:val="37"/>
        </w:rPr>
      </w:pPr>
    </w:p>
    <w:p>
      <w:pPr>
        <w:spacing w:before="0"/>
        <w:ind w:left="939" w:right="0" w:firstLine="0"/>
        <w:jc w:val="left"/>
        <w:rPr>
          <w:i/>
          <w:sz w:val="24"/>
        </w:rPr>
      </w:pPr>
      <w:r>
        <w:rPr>
          <w:i/>
          <w:sz w:val="24"/>
        </w:rPr>
        <w:t>s/ Danielle McCarthy</w:t>
      </w:r>
    </w:p>
    <w:p>
      <w:pPr>
        <w:pStyle w:val="BodyText"/>
        <w:spacing w:before="10"/>
        <w:rPr>
          <w:i/>
          <w:sz w:val="13"/>
        </w:rPr>
      </w:pPr>
      <w:r>
        <w:rPr/>
        <w:pict>
          <v:line style="position:absolute;mso-position-horizontal-relative:page;mso-position-vertical-relative:paragraph;z-index:-1000;mso-wrap-distance-left:0;mso-wrap-distance-right:0" from="90pt,10.758878pt" to="238.860007pt,10.758878pt" stroked="true" strokeweight=".460875pt" strokecolor="#000000">
            <v:stroke dashstyle="solid"/>
            <w10:wrap type="topAndBottom"/>
          </v:line>
        </w:pict>
      </w:r>
    </w:p>
    <w:p>
      <w:pPr>
        <w:pStyle w:val="BodyText"/>
        <w:ind w:left="939"/>
      </w:pPr>
      <w:r>
        <w:rPr/>
        <w:t>Danielle McCarthy #34573</w:t>
      </w:r>
    </w:p>
    <w:p>
      <w:pPr>
        <w:pStyle w:val="BodyText"/>
        <w:rPr>
          <w:sz w:val="26"/>
        </w:rPr>
      </w:pPr>
    </w:p>
    <w:p>
      <w:pPr>
        <w:spacing w:before="185"/>
        <w:ind w:left="0" w:right="1485" w:firstLine="0"/>
        <w:jc w:val="right"/>
        <w:rPr>
          <w:b/>
          <w:sz w:val="20"/>
        </w:rPr>
      </w:pPr>
      <w:r>
        <w:rPr>
          <w:b/>
          <w:sz w:val="20"/>
          <w:u w:val="single"/>
        </w:rPr>
        <w:t>Certificate of Service</w:t>
      </w:r>
    </w:p>
    <w:p>
      <w:pPr>
        <w:spacing w:line="254" w:lineRule="auto" w:before="13"/>
        <w:ind w:left="6162" w:right="682" w:firstLine="0"/>
        <w:jc w:val="both"/>
        <w:rPr>
          <w:sz w:val="20"/>
        </w:rPr>
      </w:pPr>
      <w:r>
        <w:rPr>
          <w:sz w:val="20"/>
        </w:rPr>
        <w:t>I hereby certify that on Thursday, February 23, 17, I served the foregoing document by mailing same to all opposing counsel of</w:t>
      </w:r>
      <w:r>
        <w:rPr>
          <w:spacing w:val="-4"/>
          <w:sz w:val="20"/>
        </w:rPr>
        <w:t> </w:t>
      </w:r>
      <w:r>
        <w:rPr>
          <w:sz w:val="20"/>
        </w:rPr>
        <w:t>record.</w:t>
      </w:r>
    </w:p>
    <w:p>
      <w:pPr>
        <w:pStyle w:val="BodyText"/>
        <w:rPr>
          <w:sz w:val="12"/>
        </w:rPr>
      </w:pPr>
    </w:p>
    <w:p>
      <w:pPr>
        <w:tabs>
          <w:tab w:pos="6689" w:val="left" w:leader="none"/>
          <w:tab w:pos="9142" w:val="left" w:leader="none"/>
        </w:tabs>
        <w:spacing w:before="100"/>
        <w:ind w:left="6162" w:right="0" w:firstLine="0"/>
        <w:jc w:val="left"/>
        <w:rPr>
          <w:sz w:val="20"/>
        </w:rPr>
      </w:pPr>
      <w:r>
        <w:rPr>
          <w:w w:val="100"/>
          <w:sz w:val="20"/>
          <w:u w:val="single"/>
        </w:rPr>
        <w:t> </w:t>
      </w:r>
      <w:r>
        <w:rPr>
          <w:sz w:val="20"/>
          <w:u w:val="single"/>
        </w:rPr>
        <w:tab/>
      </w:r>
      <w:r>
        <w:rPr>
          <w:sz w:val="20"/>
        </w:rPr>
        <w:t>DMM</w:t>
      </w:r>
      <w:r>
        <w:rPr>
          <w:sz w:val="20"/>
          <w:u w:val="single"/>
        </w:rPr>
        <w:t> </w:t>
        <w:tab/>
      </w:r>
    </w:p>
    <w:sectPr>
      <w:pgSz w:w="12240" w:h="15840"/>
      <w:pgMar w:top="1340" w:bottom="280" w:left="12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fornian FB">
    <w:altName w:val="Californian FB"/>
    <w:charset w:val="0"/>
    <w:family w:val="roman"/>
    <w:pitch w:val="variable"/>
  </w:font>
  <w:font w:name="Arial">
    <w:altName w:val="Arial"/>
    <w:charset w:val="0"/>
    <w:family w:val="swiss"/>
    <w:pitch w:val="variable"/>
  </w:font>
  <w:font w:name="Minion Pro">
    <w:altName w:val="Minion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0" w:hanging="772"/>
        <w:jc w:val="left"/>
      </w:pPr>
      <w:rPr>
        <w:rFonts w:hint="default" w:ascii="Californian FB" w:hAnsi="Californian FB" w:eastAsia="Californian FB" w:cs="Californian FB"/>
        <w:spacing w:val="-24"/>
        <w:w w:val="100"/>
        <w:sz w:val="24"/>
        <w:szCs w:val="24"/>
      </w:rPr>
    </w:lvl>
    <w:lvl w:ilvl="1">
      <w:start w:val="0"/>
      <w:numFmt w:val="bullet"/>
      <w:lvlText w:val="•"/>
      <w:lvlJc w:val="left"/>
      <w:pPr>
        <w:ind w:left="6160" w:hanging="772"/>
      </w:pPr>
      <w:rPr>
        <w:rFonts w:hint="default"/>
      </w:rPr>
    </w:lvl>
    <w:lvl w:ilvl="2">
      <w:start w:val="0"/>
      <w:numFmt w:val="bullet"/>
      <w:lvlText w:val="•"/>
      <w:lvlJc w:val="left"/>
      <w:pPr>
        <w:ind w:left="6613" w:hanging="772"/>
      </w:pPr>
      <w:rPr>
        <w:rFonts w:hint="default"/>
      </w:rPr>
    </w:lvl>
    <w:lvl w:ilvl="3">
      <w:start w:val="0"/>
      <w:numFmt w:val="bullet"/>
      <w:lvlText w:val="•"/>
      <w:lvlJc w:val="left"/>
      <w:pPr>
        <w:ind w:left="7066" w:hanging="772"/>
      </w:pPr>
      <w:rPr>
        <w:rFonts w:hint="default"/>
      </w:rPr>
    </w:lvl>
    <w:lvl w:ilvl="4">
      <w:start w:val="0"/>
      <w:numFmt w:val="bullet"/>
      <w:lvlText w:val="•"/>
      <w:lvlJc w:val="left"/>
      <w:pPr>
        <w:ind w:left="7520" w:hanging="772"/>
      </w:pPr>
      <w:rPr>
        <w:rFonts w:hint="default"/>
      </w:rPr>
    </w:lvl>
    <w:lvl w:ilvl="5">
      <w:start w:val="0"/>
      <w:numFmt w:val="bullet"/>
      <w:lvlText w:val="•"/>
      <w:lvlJc w:val="left"/>
      <w:pPr>
        <w:ind w:left="7973" w:hanging="772"/>
      </w:pPr>
      <w:rPr>
        <w:rFonts w:hint="default"/>
      </w:rPr>
    </w:lvl>
    <w:lvl w:ilvl="6">
      <w:start w:val="0"/>
      <w:numFmt w:val="bullet"/>
      <w:lvlText w:val="•"/>
      <w:lvlJc w:val="left"/>
      <w:pPr>
        <w:ind w:left="8426" w:hanging="772"/>
      </w:pPr>
      <w:rPr>
        <w:rFonts w:hint="default"/>
      </w:rPr>
    </w:lvl>
    <w:lvl w:ilvl="7">
      <w:start w:val="0"/>
      <w:numFmt w:val="bullet"/>
      <w:lvlText w:val="•"/>
      <w:lvlJc w:val="left"/>
      <w:pPr>
        <w:ind w:left="8880" w:hanging="772"/>
      </w:pPr>
      <w:rPr>
        <w:rFonts w:hint="default"/>
      </w:rPr>
    </w:lvl>
    <w:lvl w:ilvl="8">
      <w:start w:val="0"/>
      <w:numFmt w:val="bullet"/>
      <w:lvlText w:val="•"/>
      <w:lvlJc w:val="left"/>
      <w:pPr>
        <w:ind w:left="9333" w:hanging="77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fornian FB" w:hAnsi="Californian FB" w:eastAsia="Californian FB" w:cs="Californian FB"/>
    </w:rPr>
  </w:style>
  <w:style w:styleId="BodyText" w:type="paragraph">
    <w:name w:val="Body Text"/>
    <w:basedOn w:val="Normal"/>
    <w:uiPriority w:val="1"/>
    <w:qFormat/>
    <w:pPr/>
    <w:rPr>
      <w:rFonts w:ascii="Californian FB" w:hAnsi="Californian FB" w:eastAsia="Californian FB" w:cs="Californian FB"/>
      <w:sz w:val="24"/>
      <w:szCs w:val="24"/>
    </w:rPr>
  </w:style>
  <w:style w:styleId="ListParagraph" w:type="paragraph">
    <w:name w:val="List Paragraph"/>
    <w:basedOn w:val="Normal"/>
    <w:uiPriority w:val="1"/>
    <w:qFormat/>
    <w:pPr>
      <w:spacing w:before="1"/>
      <w:ind w:left="220" w:right="657" w:firstLine="720"/>
      <w:jc w:val="both"/>
    </w:pPr>
    <w:rPr>
      <w:rFonts w:ascii="Californian FB" w:hAnsi="Californian FB" w:eastAsia="Californian FB" w:cs="Californian FB"/>
    </w:rPr>
  </w:style>
  <w:style w:styleId="TableParagraph" w:type="paragraph">
    <w:name w:val="Table Paragraph"/>
    <w:basedOn w:val="Normal"/>
    <w:uiPriority w:val="1"/>
    <w:qFormat/>
    <w:pPr>
      <w:ind w:left="107"/>
    </w:pPr>
    <w:rPr>
      <w:rFonts w:ascii="Californian FB" w:hAnsi="Californian FB" w:eastAsia="Californian FB" w:cs="Californian F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aniellemccarthy11@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Public Defender</dc:creator>
  <dcterms:created xsi:type="dcterms:W3CDTF">2019-05-10T18:45:49Z</dcterms:created>
  <dcterms:modified xsi:type="dcterms:W3CDTF">2019-05-10T18:45:49Z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10.1 for Word</vt:lpwstr>
  </property>
  <property fmtid="{D5CDD505-2E9C-101B-9397-08002B2CF9AE}" pid="4" name="LastSaved">
    <vt:filetime>2019-05-10T00:00:00Z</vt:filetime>
  </property>
</Properties>
</file>