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 w:right="109"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10" w:right="109"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3576" w:right="211" w:hanging="3368"/>
        <w:jc w:val="left"/>
        <w:rPr>
          <w:b/>
          <w:sz w:val="24"/>
        </w:rPr>
      </w:pPr>
      <w:r>
        <w:rPr>
          <w:b/>
          <w:sz w:val="24"/>
        </w:rPr>
        <w:t>DEFENDANT’S MOTION IN LIMINE TO EXCLUDE EVIDENCE OF DAMAGES TO CHAFIN RESIDENCE</w:t>
      </w:r>
    </w:p>
    <w:p>
      <w:pPr>
        <w:pStyle w:val="BodyText"/>
        <w:spacing w:before="6"/>
        <w:rPr>
          <w:b/>
          <w:sz w:val="23"/>
        </w:rPr>
      </w:pPr>
    </w:p>
    <w:p>
      <w:pPr>
        <w:pStyle w:val="BodyText"/>
        <w:spacing w:line="480" w:lineRule="auto"/>
        <w:ind w:left="100" w:right="117" w:firstLine="719"/>
        <w:jc w:val="both"/>
      </w:pPr>
      <w:r>
        <w:rPr/>
        <w:t>Now comes the defendant, Pinnacle Mining Company, LLC (“Defendant”), by counsel, and states as follows in support of its motion </w:t>
      </w:r>
      <w:r>
        <w:rPr>
          <w:i/>
        </w:rPr>
        <w:t>in limine </w:t>
      </w:r>
      <w:r>
        <w:rPr/>
        <w:t>to preclude evidence of damages to Gregory Chafin’s (“Mr. Chafin”) home that contradicts his own sworn testimony:</w:t>
      </w:r>
    </w:p>
    <w:p>
      <w:pPr>
        <w:pStyle w:val="Heading1"/>
        <w:numPr>
          <w:ilvl w:val="1"/>
          <w:numId w:val="1"/>
        </w:numPr>
        <w:tabs>
          <w:tab w:pos="3957" w:val="left" w:leader="none"/>
          <w:tab w:pos="3958" w:val="left" w:leader="none"/>
        </w:tabs>
        <w:spacing w:line="240" w:lineRule="auto" w:before="6"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before="1"/>
        <w:ind w:left="100" w:right="116" w:firstLine="719"/>
        <w:jc w:val="both"/>
      </w:pPr>
      <w:r>
        <w:rPr/>
        <w:t>As this Court is well-aware from the voluminous briefing before it, this case involves Defendants’ allegedly negligent mining near Plaintiffs’ residences and the damages that Plaintiffs claim were caused to their properties by said mining. During the course if his deposition on February 10, 2017, Mr. Chafin testified quite clearly that his home had only suffered “minimal” damages in the form of some small cracks in the sidewalk and that he was simply worried about future damages that might result from ongoing mining. See Chafin Depo  at 24-25, attached hereto as Exhibit A. Yet, less than two weeks later, as part of</w:t>
      </w:r>
      <w:r>
        <w:rPr>
          <w:spacing w:val="38"/>
        </w:rPr>
        <w:t> </w:t>
      </w:r>
      <w:r>
        <w:rPr/>
        <w:t>expert disclosures based on inspections that occurred many months earlier, Plaintiffs’ experts concluded that various other damages existed at Mr. Chafin’s</w:t>
      </w:r>
      <w:r>
        <w:rPr>
          <w:spacing w:val="-6"/>
        </w:rPr>
        <w:t> </w:t>
      </w:r>
      <w:r>
        <w:rPr/>
        <w:t>home.</w:t>
      </w:r>
    </w:p>
    <w:p>
      <w:pPr>
        <w:spacing w:after="0" w:line="480" w:lineRule="auto"/>
        <w:jc w:val="both"/>
        <w:sectPr>
          <w:headerReference w:type="default" r:id="rId5"/>
          <w:footerReference w:type="default" r:id="rId6"/>
          <w:type w:val="continuous"/>
          <w:pgSz w:w="12240" w:h="15840"/>
          <w:pgMar w:header="283" w:footer="1067" w:top="1340" w:bottom="1260" w:left="1340" w:right="1320"/>
          <w:pgNumType w:start="1"/>
        </w:sectPr>
      </w:pPr>
    </w:p>
    <w:p>
      <w:pPr>
        <w:pStyle w:val="BodyText"/>
        <w:spacing w:line="480" w:lineRule="auto" w:before="89"/>
        <w:ind w:left="100" w:right="119" w:firstLine="719"/>
        <w:jc w:val="both"/>
      </w:pPr>
      <w:r>
        <w:rPr/>
        <w:t>In other words, somehow Plaintiffs experts managed to claim that Mr. Chafin’s home has suffered damages that Mr. Chafin insists do not exist. Mr. Chafin cannot recover for damages when he himself admits that the damages are not present. To hold otherwise would open the  door to absurd</w:t>
      </w:r>
      <w:r>
        <w:rPr>
          <w:spacing w:val="-2"/>
        </w:rPr>
        <w:t> </w:t>
      </w:r>
      <w:r>
        <w:rPr/>
        <w:t>consequences.</w:t>
      </w:r>
    </w:p>
    <w:p>
      <w:pPr>
        <w:tabs>
          <w:tab w:pos="4687" w:val="left" w:leader="none"/>
        </w:tabs>
        <w:spacing w:before="5"/>
        <w:ind w:left="3967" w:right="0" w:firstLine="0"/>
        <w:jc w:val="left"/>
        <w:rPr>
          <w:b/>
          <w:sz w:val="24"/>
        </w:rPr>
      </w:pPr>
      <w:r>
        <w:rPr>
          <w:b/>
          <w:color w:val="333333"/>
          <w:sz w:val="24"/>
        </w:rPr>
        <w:t>III.</w:t>
        <w:tab/>
        <w:t>CONCLUSION</w:t>
      </w:r>
    </w:p>
    <w:p>
      <w:pPr>
        <w:pStyle w:val="BodyText"/>
        <w:spacing w:before="7"/>
        <w:rPr>
          <w:b/>
          <w:sz w:val="23"/>
        </w:rPr>
      </w:pPr>
    </w:p>
    <w:p>
      <w:pPr>
        <w:pStyle w:val="BodyText"/>
        <w:spacing w:line="480" w:lineRule="auto"/>
        <w:ind w:left="100" w:right="118" w:firstLine="719"/>
        <w:jc w:val="both"/>
      </w:pPr>
      <w:r>
        <w:rPr>
          <w:color w:val="333333"/>
        </w:rPr>
        <w:t>This Court should grant Defendant’s motion and hold that Mr. Chafin cannot claim the existence of damages in direct contradiction to his own testimony.</w:t>
      </w:r>
    </w:p>
    <w:p>
      <w:pPr>
        <w:pStyle w:val="BodyText"/>
        <w:spacing w:before="1"/>
        <w:ind w:left="4421"/>
      </w:pPr>
      <w:r>
        <w:rPr/>
        <w:t>Respectfully submitted,</w:t>
      </w:r>
    </w:p>
    <w:p>
      <w:pPr>
        <w:pStyle w:val="BodyText"/>
        <w:rPr>
          <w:sz w:val="26"/>
        </w:rPr>
      </w:pPr>
    </w:p>
    <w:p>
      <w:pPr>
        <w:pStyle w:val="BodyText"/>
        <w:spacing w:before="4"/>
        <w:rPr>
          <w:sz w:val="22"/>
        </w:rPr>
      </w:pPr>
    </w:p>
    <w:p>
      <w:pPr>
        <w:pStyle w:val="Heading1"/>
        <w:ind w:left="4421"/>
      </w:pPr>
      <w:r>
        <w:rPr/>
        <w:t>PINNACLE MINING COMPANY, LLC</w:t>
      </w:r>
    </w:p>
    <w:p>
      <w:pPr>
        <w:spacing w:before="0"/>
        <w:ind w:left="4421" w:right="0" w:firstLine="0"/>
        <w:jc w:val="left"/>
        <w:rPr>
          <w:b/>
          <w:sz w:val="24"/>
        </w:rPr>
      </w:pPr>
      <w:r>
        <w:rPr>
          <w:b/>
          <w:sz w:val="24"/>
        </w:rPr>
        <w:t>By Counsel</w:t>
      </w:r>
    </w:p>
    <w:p>
      <w:pPr>
        <w:pStyle w:val="BodyText"/>
        <w:rPr>
          <w:b/>
          <w:sz w:val="26"/>
        </w:rPr>
      </w:pPr>
    </w:p>
    <w:p>
      <w:pPr>
        <w:pStyle w:val="BodyText"/>
        <w:rPr>
          <w:b/>
          <w:sz w:val="26"/>
        </w:rPr>
      </w:pPr>
    </w:p>
    <w:p>
      <w:pPr>
        <w:pStyle w:val="BodyText"/>
        <w:spacing w:before="10"/>
        <w:rPr>
          <w:b/>
          <w:sz w:val="26"/>
        </w:rPr>
      </w:pPr>
    </w:p>
    <w:p>
      <w:pPr>
        <w:pStyle w:val="BodyText"/>
        <w:tabs>
          <w:tab w:pos="5140" w:val="left" w:leader="none"/>
          <w:tab w:pos="9461" w:val="left" w:leader="none"/>
        </w:tabs>
        <w:spacing w:line="237" w:lineRule="auto" w:before="1"/>
        <w:ind w:left="4521" w:right="116"/>
      </w:pPr>
      <w:r>
        <w:rPr>
          <w:u w:val="single"/>
        </w:rPr>
        <w:t> </w:t>
        <w:tab/>
        <w:t>/s/ John</w:t>
      </w:r>
      <w:r>
        <w:rPr>
          <w:spacing w:val="-4"/>
          <w:u w:val="single"/>
        </w:rPr>
        <w:t> </w:t>
      </w:r>
      <w:r>
        <w:rPr>
          <w:u w:val="single"/>
        </w:rPr>
        <w:t>J. Meadows</w:t>
        <w:tab/>
      </w:r>
      <w:r>
        <w:rPr/>
        <w:t>                                   John J. Meadows (WV State Bar </w:t>
      </w:r>
      <w:r>
        <w:rPr>
          <w:spacing w:val="-4"/>
        </w:rPr>
        <w:t>ID </w:t>
      </w:r>
      <w:r>
        <w:rPr/>
        <w:t>No. 9442) Peter </w:t>
      </w:r>
      <w:r>
        <w:rPr>
          <w:spacing w:val="2"/>
        </w:rPr>
        <w:t>J. </w:t>
      </w:r>
      <w:r>
        <w:rPr/>
        <w:t>Raupp (WV State Bar </w:t>
      </w:r>
      <w:r>
        <w:rPr>
          <w:spacing w:val="-4"/>
        </w:rPr>
        <w:t>ID</w:t>
      </w:r>
      <w:r>
        <w:rPr>
          <w:spacing w:val="-5"/>
        </w:rPr>
        <w:t> </w:t>
      </w:r>
      <w:r>
        <w:rPr/>
        <w:t>No.</w:t>
      </w:r>
    </w:p>
    <w:p>
      <w:pPr>
        <w:pStyle w:val="BodyText"/>
        <w:spacing w:line="275" w:lineRule="exact"/>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ind w:left="4521"/>
      </w:pPr>
      <w:r>
        <w:rPr/>
        <w:t>Telephone: (304) 353-8154</w:t>
      </w:r>
    </w:p>
    <w:p>
      <w:pPr>
        <w:pStyle w:val="BodyText"/>
        <w:ind w:left="4521" w:right="1396"/>
      </w:pPr>
      <w:r>
        <w:rPr/>
        <w:t>Facsimile: (304) 353-8180 </w:t>
      </w:r>
      <w:hyperlink r:id="rId8">
        <w:r>
          <w:rPr/>
          <w:t>John.Meadows@steptoe-johnson.com</w:t>
        </w:r>
      </w:hyperlink>
      <w:r>
        <w:rPr/>
        <w:t> </w:t>
      </w:r>
      <w:hyperlink r:id="rId9">
        <w:r>
          <w:rPr/>
          <w:t>Peter.Raupp@steptoe-johnson.com</w:t>
        </w:r>
      </w:hyperlink>
    </w:p>
    <w:p>
      <w:pPr>
        <w:spacing w:after="0"/>
        <w:sectPr>
          <w:headerReference w:type="default" r:id="rId7"/>
          <w:pgSz w:w="12240" w:h="15840"/>
          <w:pgMar w:header="283" w:footer="1067" w:top="1340" w:bottom="1260" w:left="1340" w:right="1320"/>
          <w:pgNumType w:start="2"/>
        </w:sectPr>
      </w:pPr>
    </w:p>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 w:right="109"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5140" w:val="left" w:leader="none"/>
        </w:tabs>
        <w:spacing w:line="264" w:lineRule="exact" w:before="0"/>
        <w:ind w:left="100" w:right="0" w:firstLine="0"/>
        <w:jc w:val="left"/>
        <w:rPr>
          <w:b/>
          <w:sz w:val="24"/>
        </w:rPr>
      </w:pPr>
      <w:r>
        <w:rPr>
          <w:b/>
          <w:sz w:val="24"/>
        </w:rPr>
        <w:t>v.</w:t>
        <w:tab/>
        <w:t>CIVIL ACTION NO.</w:t>
      </w:r>
      <w:r>
        <w:rPr>
          <w:b/>
          <w:spacing w:val="-2"/>
          <w:sz w:val="24"/>
        </w:rPr>
        <w:t> </w:t>
      </w:r>
      <w:r>
        <w:rPr>
          <w:b/>
          <w:sz w:val="24"/>
        </w:rPr>
        <w:t>5:15-CV-15444</w:t>
      </w:r>
    </w:p>
    <w:p>
      <w:pPr>
        <w:spacing w:line="270" w:lineRule="exact" w:before="0"/>
        <w:ind w:left="5141" w:right="0" w:firstLine="0"/>
        <w:jc w:val="left"/>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74" w:right="109" w:firstLine="0"/>
        <w:jc w:val="center"/>
        <w:rPr>
          <w:b/>
          <w:sz w:val="24"/>
        </w:rPr>
      </w:pPr>
      <w:r>
        <w:rPr>
          <w:b/>
          <w:sz w:val="24"/>
          <w:u w:val="thick"/>
        </w:rPr>
        <w:t>CERTIFICATE OF SERVICE</w:t>
      </w:r>
    </w:p>
    <w:p>
      <w:pPr>
        <w:pStyle w:val="BodyText"/>
        <w:tabs>
          <w:tab w:pos="3304" w:val="left" w:leader="none"/>
          <w:tab w:pos="3746" w:val="left" w:leader="none"/>
          <w:tab w:pos="4293" w:val="left" w:leader="none"/>
          <w:tab w:pos="5664" w:val="left" w:leader="none"/>
          <w:tab w:pos="6912" w:val="left" w:leader="none"/>
          <w:tab w:pos="8038" w:val="left" w:leader="none"/>
        </w:tabs>
        <w:spacing w:before="199"/>
        <w:ind w:left="820"/>
      </w:pPr>
      <w:r>
        <w:rPr/>
        <w:t>I   hereby  </w:t>
      </w:r>
      <w:r>
        <w:rPr>
          <w:spacing w:val="23"/>
        </w:rPr>
        <w:t> </w:t>
      </w:r>
      <w:r>
        <w:rPr/>
        <w:t>affirm  </w:t>
      </w:r>
      <w:r>
        <w:rPr>
          <w:spacing w:val="19"/>
        </w:rPr>
        <w:t> </w:t>
      </w:r>
      <w:r>
        <w:rPr/>
        <w:t>that</w:t>
        <w:tab/>
        <w:t>on</w:t>
        <w:tab/>
        <w:t>this</w:t>
        <w:tab/>
        <w:t>date,  </w:t>
      </w:r>
      <w:r>
        <w:rPr>
          <w:spacing w:val="19"/>
        </w:rPr>
        <w:t> </w:t>
      </w:r>
      <w:r>
        <w:rPr/>
        <w:t>April</w:t>
        <w:tab/>
        <w:t>17,  </w:t>
      </w:r>
      <w:r>
        <w:rPr>
          <w:spacing w:val="21"/>
        </w:rPr>
        <w:t> </w:t>
      </w:r>
      <w:r>
        <w:rPr/>
        <w:t>2017,</w:t>
        <w:tab/>
        <w:t>I  </w:t>
      </w:r>
      <w:r>
        <w:rPr>
          <w:spacing w:val="11"/>
        </w:rPr>
        <w:t> </w:t>
      </w:r>
      <w:r>
        <w:rPr/>
        <w:t>caused</w:t>
        <w:tab/>
        <w:t>the  </w:t>
      </w:r>
      <w:r>
        <w:rPr>
          <w:spacing w:val="17"/>
        </w:rPr>
        <w:t> </w:t>
      </w:r>
      <w:r>
        <w:rPr/>
        <w:t>foregoing</w:t>
      </w:r>
    </w:p>
    <w:p>
      <w:pPr>
        <w:pStyle w:val="Heading1"/>
        <w:spacing w:line="274" w:lineRule="exact" w:before="5"/>
        <w:ind w:left="0" w:right="13"/>
        <w:jc w:val="center"/>
      </w:pPr>
      <w:r>
        <w:rPr>
          <w:i/>
        </w:rPr>
        <w:t>“</w:t>
      </w:r>
      <w:r>
        <w:rPr/>
        <w:t>DEFENDANT’S MOTION IN LIMINE TO EXCLUDE EVIDENCE OF DAMAGES </w:t>
      </w:r>
      <w:r>
        <w:rPr>
          <w:spacing w:val="14"/>
        </w:rPr>
        <w:t> </w:t>
      </w:r>
      <w:r>
        <w:rPr/>
        <w:t>TO</w:t>
      </w:r>
    </w:p>
    <w:p>
      <w:pPr>
        <w:pStyle w:val="BodyText"/>
        <w:ind w:left="100" w:right="211"/>
      </w:pPr>
      <w:r>
        <w:rPr>
          <w:b/>
        </w:rPr>
        <w:t>CHAFIN RESIDENCE</w:t>
      </w:r>
      <w:r>
        <w:rPr>
          <w:b/>
          <w:i/>
        </w:rPr>
        <w:t>” </w:t>
      </w:r>
      <w:r>
        <w:rPr/>
        <w:t>to be filed via the CM/ECF electronic filing system and, by virtue of the same, electronic notification will be served as</w:t>
      </w:r>
      <w:r>
        <w:rPr>
          <w:spacing w:val="-2"/>
        </w:rPr>
        <w:t> </w:t>
      </w:r>
      <w:r>
        <w:rPr/>
        <w:t>follows:</w:t>
      </w:r>
    </w:p>
    <w:p>
      <w:pPr>
        <w:pStyle w:val="BodyText"/>
        <w:spacing w:before="9"/>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r>
        <w:rPr>
          <w:color w:val="0000FF"/>
          <w:u w:val="single" w:color="0000FF"/>
        </w:rPr>
        <w:t> </w:t>
      </w:r>
      <w:hyperlink r:id="rId11">
        <w:r>
          <w:rPr>
            <w:color w:val="0000FF"/>
            <w:u w:val="single" w:color="0000FF"/>
          </w:rPr>
          <w:t>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pStyle w:val="BodyText"/>
        <w:tabs>
          <w:tab w:pos="5140" w:val="left" w:leader="none"/>
          <w:tab w:pos="8741" w:val="left" w:leader="none"/>
        </w:tabs>
        <w:spacing w:line="237" w:lineRule="auto" w:before="233"/>
        <w:ind w:left="4521" w:right="571"/>
      </w:pPr>
      <w:r>
        <w:rPr>
          <w:u w:val="single"/>
        </w:rPr>
        <w:t> </w:t>
        <w:tab/>
        <w:t>/s/ John</w:t>
      </w:r>
      <w:r>
        <w:rPr>
          <w:spacing w:val="-4"/>
          <w:u w:val="single"/>
        </w:rPr>
        <w:t> </w:t>
      </w:r>
      <w:r>
        <w:rPr>
          <w:u w:val="single"/>
        </w:rPr>
        <w:t>J. Meadows</w:t>
        <w:tab/>
      </w:r>
      <w:r>
        <w:rPr/>
        <w:t>                       John J. Meadows (WV State Bar </w:t>
      </w:r>
      <w:r>
        <w:rPr>
          <w:spacing w:val="-4"/>
        </w:rPr>
        <w:t>ID </w:t>
      </w:r>
      <w:r>
        <w:rPr/>
        <w:t>No. 9442) Peter </w:t>
      </w:r>
      <w:r>
        <w:rPr>
          <w:spacing w:val="2"/>
        </w:rPr>
        <w:t>J. </w:t>
      </w:r>
      <w:r>
        <w:rPr/>
        <w:t>Raupp (WV State Bar </w:t>
      </w:r>
      <w:r>
        <w:rPr>
          <w:spacing w:val="-4"/>
        </w:rPr>
        <w:t>ID</w:t>
      </w:r>
      <w:r>
        <w:rPr>
          <w:spacing w:val="-6"/>
        </w:rPr>
        <w:t> </w:t>
      </w:r>
      <w:r>
        <w:rPr/>
        <w:t>No.</w:t>
      </w:r>
    </w:p>
    <w:p>
      <w:pPr>
        <w:pStyle w:val="BodyText"/>
        <w:spacing w:before="1"/>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spacing w:before="1"/>
        <w:ind w:left="4521" w:right="2220" w:hanging="3481"/>
      </w:pPr>
      <w:r>
        <w:rPr>
          <w:b/>
        </w:rPr>
        <w:t>Of Counsel</w:t>
        <w:tab/>
      </w:r>
      <w:r>
        <w:rPr/>
        <w:t>Post Office Box 1588 Charleston, WV</w:t>
      </w:r>
      <w:r>
        <w:rPr>
          <w:spacing w:val="8"/>
        </w:rPr>
        <w:t> </w:t>
      </w:r>
      <w:r>
        <w:rPr>
          <w:spacing w:val="-3"/>
        </w:rPr>
        <w:t>25326-1588</w:t>
      </w:r>
    </w:p>
    <w:p>
      <w:pPr>
        <w:pStyle w:val="BodyText"/>
        <w:ind w:left="4521"/>
      </w:pPr>
      <w:r>
        <w:rPr/>
        <w:t>Telephone: (304) 353-8154</w:t>
      </w:r>
    </w:p>
    <w:p>
      <w:pPr>
        <w:pStyle w:val="BodyText"/>
        <w:ind w:left="4521" w:right="1396"/>
      </w:pPr>
      <w:r>
        <w:rPr/>
        <w:t>Facsimile: (304) 353-8180 </w:t>
      </w:r>
      <w:hyperlink r:id="rId8">
        <w:r>
          <w:rPr/>
          <w:t>John.Meadows@steptoe-johnson.com</w:t>
        </w:r>
      </w:hyperlink>
      <w:r>
        <w:rPr/>
        <w:t> </w:t>
      </w:r>
      <w:hyperlink r:id="rId9">
        <w:r>
          <w:rPr/>
          <w:t>Peter.Raupp@steptoe-johnson.com</w:t>
        </w:r>
      </w:hyperlink>
    </w:p>
    <w:sectPr>
      <w:headerReference w:type="default" r:id="rId10"/>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14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168" type="#_x0000_t202" filled="false" stroked="false">
          <v:textbox inset="0,0,0,0">
            <w:txbxContent>
              <w:p>
                <w:pPr>
                  <w:pStyle w:val="BodyText"/>
                  <w:spacing w:before="12"/>
                  <w:ind w:left="20"/>
                  <w:rPr>
                    <w:rFonts w:ascii="Arial"/>
                  </w:rPr>
                </w:pPr>
                <w:r>
                  <w:rPr>
                    <w:rFonts w:ascii="Arial"/>
                    <w:color w:val="0000FF"/>
                  </w:rPr>
                  <w:t>Case 5:15-cv-15444 Document 224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3 PageID #: 1833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120" type="#_x0000_t202" filled="false" stroked="false">
          <v:textbox inset="0,0,0,0">
            <w:txbxContent>
              <w:p>
                <w:pPr>
                  <w:pStyle w:val="BodyText"/>
                  <w:spacing w:before="12"/>
                  <w:ind w:left="20"/>
                  <w:rPr>
                    <w:rFonts w:ascii="Arial"/>
                  </w:rPr>
                </w:pPr>
                <w:r>
                  <w:rPr>
                    <w:rFonts w:ascii="Arial"/>
                    <w:color w:val="0000FF"/>
                  </w:rPr>
                  <w:t>Case 5:15-cv-15444 Document 224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3 PageID #: 1834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096" type="#_x0000_t202" filled="false" stroked="false">
          <v:textbox inset="0,0,0,0">
            <w:txbxContent>
              <w:p>
                <w:pPr>
                  <w:pStyle w:val="BodyText"/>
                  <w:spacing w:before="12"/>
                  <w:ind w:left="20"/>
                  <w:rPr>
                    <w:rFonts w:ascii="Arial"/>
                  </w:rPr>
                </w:pPr>
                <w:r>
                  <w:rPr>
                    <w:rFonts w:ascii="Arial"/>
                    <w:color w:val="0000FF"/>
                  </w:rPr>
                  <w:t>Case 5:15-cv-15444 Document 224 Filed 04/17/17 Page 3 of 3 PageID #: 1835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lef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4680" w:hanging="720"/>
      </w:pPr>
      <w:rPr>
        <w:rFonts w:hint="default"/>
        <w:lang w:val="en-us" w:eastAsia="en-us" w:bidi="en-us"/>
      </w:rPr>
    </w:lvl>
    <w:lvl w:ilvl="3">
      <w:start w:val="0"/>
      <w:numFmt w:val="bullet"/>
      <w:lvlText w:val="•"/>
      <w:lvlJc w:val="left"/>
      <w:pPr>
        <w:ind w:left="5292" w:hanging="720"/>
      </w:pPr>
      <w:rPr>
        <w:rFonts w:hint="default"/>
        <w:lang w:val="en-us" w:eastAsia="en-us" w:bidi="en-us"/>
      </w:rPr>
    </w:lvl>
    <w:lvl w:ilvl="4">
      <w:start w:val="0"/>
      <w:numFmt w:val="bullet"/>
      <w:lvlText w:val="•"/>
      <w:lvlJc w:val="left"/>
      <w:pPr>
        <w:ind w:left="5905" w:hanging="720"/>
      </w:pPr>
      <w:rPr>
        <w:rFonts w:hint="default"/>
        <w:lang w:val="en-us" w:eastAsia="en-us" w:bidi="en-us"/>
      </w:rPr>
    </w:lvl>
    <w:lvl w:ilvl="5">
      <w:start w:val="0"/>
      <w:numFmt w:val="bullet"/>
      <w:lvlText w:val="•"/>
      <w:lvlJc w:val="left"/>
      <w:pPr>
        <w:ind w:left="6517" w:hanging="720"/>
      </w:pPr>
      <w:rPr>
        <w:rFonts w:hint="default"/>
        <w:lang w:val="en-us" w:eastAsia="en-us" w:bidi="en-us"/>
      </w:rPr>
    </w:lvl>
    <w:lvl w:ilvl="6">
      <w:start w:val="0"/>
      <w:numFmt w:val="bullet"/>
      <w:lvlText w:val="•"/>
      <w:lvlJc w:val="left"/>
      <w:pPr>
        <w:ind w:left="7130" w:hanging="720"/>
      </w:pPr>
      <w:rPr>
        <w:rFonts w:hint="default"/>
        <w:lang w:val="en-us" w:eastAsia="en-us" w:bidi="en-us"/>
      </w:rPr>
    </w:lvl>
    <w:lvl w:ilvl="7">
      <w:start w:val="0"/>
      <w:numFmt w:val="bullet"/>
      <w:lvlText w:val="•"/>
      <w:lvlJc w:val="left"/>
      <w:pPr>
        <w:ind w:left="7742" w:hanging="720"/>
      </w:pPr>
      <w:rPr>
        <w:rFonts w:hint="default"/>
        <w:lang w:val="en-us" w:eastAsia="en-us" w:bidi="en-us"/>
      </w:rPr>
    </w:lvl>
    <w:lvl w:ilvl="8">
      <w:start w:val="0"/>
      <w:numFmt w:val="bullet"/>
      <w:lvlText w:val="•"/>
      <w:lvlJc w:val="left"/>
      <w:pPr>
        <w:ind w:left="8355"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3957" w:hanging="43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mailto:John.Meadows@steptoe-johnson.com" TargetMode="External"/><Relationship Id="rId9" Type="http://schemas.openxmlformats.org/officeDocument/2006/relationships/hyperlink" Target="mailto:Peter.Raupp@steptoe-johnson.com" TargetMode="External"/><Relationship Id="rId10" Type="http://schemas.openxmlformats.org/officeDocument/2006/relationships/header" Target="header3.xml"/><Relationship Id="rId11" Type="http://schemas.openxmlformats.org/officeDocument/2006/relationships/hyperlink" Target="mailto:rad@themasterslawfirm.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2019-05-10T17:48:48Z</dcterms:created>
  <dcterms:modified xsi:type="dcterms:W3CDTF">2019-05-10T17:48:48Z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Aspose Ltd.</vt:lpwstr>
  </property>
  <property fmtid="{D5CDD505-2E9C-101B-9397-08002B2CF9AE}" pid="4" name="LastSaved">
    <vt:filetime>2019-05-10T00:00:00Z</vt:filetime>
  </property>
</Properties>
</file>