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5" w:lineRule="auto" w:before="93"/>
        <w:ind w:left="1713" w:right="1801" w:firstLine="549"/>
      </w:pPr>
      <w:r>
        <w:rPr/>
        <w:t>IN THE UNITED STATES DISTRICT COURT FOR THE SOUTHERN DISTRICT OF WEST</w:t>
      </w:r>
      <w:r>
        <w:rPr>
          <w:spacing w:val="-14"/>
        </w:rPr>
        <w:t> </w:t>
      </w:r>
      <w:r>
        <w:rPr/>
        <w:t>VIRGINIA</w:t>
      </w:r>
    </w:p>
    <w:p>
      <w:pPr>
        <w:spacing w:line="262" w:lineRule="exact" w:before="0"/>
        <w:ind w:left="43" w:right="148"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pStyle w:val="ListParagraph"/>
        <w:numPr>
          <w:ilvl w:val="0"/>
          <w:numId w:val="1"/>
        </w:numPr>
        <w:tabs>
          <w:tab w:pos="4420" w:val="left" w:leader="none"/>
          <w:tab w:pos="4421" w:val="left" w:leader="none"/>
        </w:tabs>
        <w:spacing w:line="264" w:lineRule="exact" w:before="0" w:after="0"/>
        <w:ind w:left="4421" w:right="0" w:hanging="4321"/>
        <w:jc w:val="left"/>
        <w:rPr>
          <w:b/>
          <w:sz w:val="24"/>
        </w:rPr>
      </w:pPr>
      <w:r>
        <w:rPr>
          <w:b/>
          <w:sz w:val="24"/>
        </w:rPr>
        <w:t>CIVIL ACTION NO.</w:t>
      </w:r>
      <w:r>
        <w:rPr>
          <w:b/>
          <w:spacing w:val="-1"/>
          <w:sz w:val="24"/>
        </w:rPr>
        <w:t> </w:t>
      </w:r>
      <w:r>
        <w:rPr>
          <w:b/>
          <w:sz w:val="24"/>
        </w:rPr>
        <w:t>5:15-CV-15444</w:t>
      </w:r>
    </w:p>
    <w:p>
      <w:pPr>
        <w:spacing w:line="270" w:lineRule="exact" w:before="0"/>
        <w:ind w:left="849" w:right="148"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4394" w:right="0" w:hanging="4239"/>
        <w:jc w:val="left"/>
        <w:rPr>
          <w:b/>
          <w:sz w:val="24"/>
        </w:rPr>
      </w:pPr>
      <w:r>
        <w:rPr>
          <w:b/>
          <w:sz w:val="24"/>
        </w:rPr>
        <w:t>DEFENDANT’S MOTION IN LIMINE TO EXCLUDE TESTIMONY FROM RICHARD HICKS</w:t>
      </w:r>
    </w:p>
    <w:p>
      <w:pPr>
        <w:pStyle w:val="BodyText"/>
        <w:spacing w:before="6"/>
        <w:rPr>
          <w:b/>
          <w:sz w:val="23"/>
        </w:rPr>
      </w:pPr>
    </w:p>
    <w:p>
      <w:pPr>
        <w:pStyle w:val="BodyText"/>
        <w:spacing w:line="480" w:lineRule="auto"/>
        <w:ind w:left="100" w:right="117" w:firstLine="719"/>
        <w:jc w:val="both"/>
      </w:pPr>
      <w:r>
        <w:rPr/>
        <w:t>Now comes the defendant, Pinnacle Mining Company, LLC (“Defendant”), by counsel, and states as follows in support of its motion </w:t>
      </w:r>
      <w:r>
        <w:rPr>
          <w:i/>
        </w:rPr>
        <w:t>in limine </w:t>
      </w:r>
      <w:r>
        <w:rPr/>
        <w:t>to preclude testimony from Richard Hicks:</w:t>
      </w:r>
    </w:p>
    <w:p>
      <w:pPr>
        <w:pStyle w:val="Heading1"/>
        <w:numPr>
          <w:ilvl w:val="1"/>
          <w:numId w:val="1"/>
        </w:numPr>
        <w:tabs>
          <w:tab w:pos="3957" w:val="left" w:leader="none"/>
          <w:tab w:pos="3958" w:val="left" w:leader="none"/>
        </w:tabs>
        <w:spacing w:line="240" w:lineRule="auto" w:before="6" w:after="0"/>
        <w:ind w:left="3957" w:right="0" w:hanging="720"/>
        <w:jc w:val="left"/>
      </w:pPr>
      <w:r>
        <w:rPr/>
        <w:t>BASIC</w:t>
      </w:r>
      <w:r>
        <w:rPr>
          <w:spacing w:val="-1"/>
        </w:rPr>
        <w:t> </w:t>
      </w:r>
      <w:r>
        <w:rPr/>
        <w:t>BACGROUND</w:t>
      </w:r>
    </w:p>
    <w:p>
      <w:pPr>
        <w:pStyle w:val="BodyText"/>
        <w:spacing w:before="6"/>
        <w:rPr>
          <w:b/>
          <w:sz w:val="23"/>
        </w:rPr>
      </w:pPr>
    </w:p>
    <w:p>
      <w:pPr>
        <w:pStyle w:val="BodyText"/>
        <w:spacing w:line="480" w:lineRule="auto" w:before="1"/>
        <w:ind w:left="100" w:right="117" w:firstLine="719"/>
        <w:jc w:val="both"/>
      </w:pPr>
      <w:r>
        <w:rPr/>
        <w:t>As this Court is well-aware from the voluminous briefing before it, this case involves Defendants’ allegedly negligent mining near Plaintiffs’ residences and the damages that Plaintiffs claim were caused to their properties by said</w:t>
      </w:r>
      <w:r>
        <w:rPr>
          <w:spacing w:val="-4"/>
        </w:rPr>
        <w:t> </w:t>
      </w:r>
      <w:r>
        <w:rPr/>
        <w:t>mining.</w:t>
      </w:r>
    </w:p>
    <w:p>
      <w:pPr>
        <w:pStyle w:val="BodyText"/>
        <w:spacing w:line="480" w:lineRule="auto"/>
        <w:ind w:left="100" w:right="123" w:firstLine="719"/>
        <w:jc w:val="both"/>
      </w:pPr>
      <w:r>
        <w:rPr/>
        <w:t>Plaintiffs have retained Richard Hicks, a retired general contractor, to testify as to how much it would cost to repair their properties. Mr. Hicks submitted reports regarding the estimated costs to repair Plaintiffs’ properties. </w:t>
      </w:r>
      <w:r>
        <w:rPr>
          <w:i/>
        </w:rPr>
        <w:t>See </w:t>
      </w:r>
      <w:r>
        <w:rPr/>
        <w:t>Hicks Reports, attached hereto as </w:t>
      </w:r>
      <w:r>
        <w:rPr>
          <w:b/>
        </w:rPr>
        <w:t>Exhibit</w:t>
      </w:r>
      <w:r>
        <w:rPr>
          <w:b/>
          <w:spacing w:val="-14"/>
        </w:rPr>
        <w:t> </w:t>
      </w:r>
      <w:r>
        <w:rPr>
          <w:b/>
        </w:rPr>
        <w:t>A</w:t>
      </w:r>
      <w:r>
        <w:rPr/>
        <w:t>.</w:t>
      </w:r>
    </w:p>
    <w:p>
      <w:pPr>
        <w:pStyle w:val="BodyText"/>
        <w:spacing w:line="480" w:lineRule="auto"/>
        <w:ind w:left="100" w:right="120" w:firstLine="719"/>
        <w:jc w:val="both"/>
      </w:pPr>
      <w:r>
        <w:rPr/>
        <w:t>However, another of Plaintiffs’ purported experts, Jack Spadaro, testified during the course of his deposition that the residences at issue in this case can expect to see new and/or additional damages over the course of the next 15-20 years and, until that period of time comes,</w:t>
      </w:r>
    </w:p>
    <w:p>
      <w:pPr>
        <w:spacing w:after="0" w:line="480" w:lineRule="auto"/>
        <w:jc w:val="both"/>
        <w:sectPr>
          <w:headerReference w:type="default" r:id="rId5"/>
          <w:footerReference w:type="default" r:id="rId6"/>
          <w:type w:val="continuous"/>
          <w:pgSz w:w="12240" w:h="15840"/>
          <w:pgMar w:header="283" w:footer="1067" w:top="1340" w:bottom="1260" w:left="1340" w:right="1320"/>
          <w:pgNumType w:start="1"/>
        </w:sectPr>
      </w:pPr>
    </w:p>
    <w:p>
      <w:pPr>
        <w:pStyle w:val="BodyText"/>
        <w:spacing w:line="480" w:lineRule="auto" w:before="89"/>
        <w:ind w:left="100" w:right="125"/>
      </w:pPr>
      <w:r>
        <w:rPr/>
        <w:t>we will not know the extent of the damages suffered by Plaintiffs’ residences. See Spadaro Depo., pp. 246-47, attached hereto as </w:t>
      </w:r>
      <w:r>
        <w:rPr>
          <w:b/>
        </w:rPr>
        <w:t>Exhibit B</w:t>
      </w:r>
      <w:r>
        <w:rPr/>
        <w:t>.</w:t>
      </w:r>
    </w:p>
    <w:p>
      <w:pPr>
        <w:pStyle w:val="BodyText"/>
        <w:spacing w:line="480" w:lineRule="auto"/>
        <w:ind w:left="100" w:right="113" w:firstLine="719"/>
        <w:jc w:val="both"/>
      </w:pPr>
      <w:r>
        <w:rPr/>
        <w:t>Assuming for a moment that Mr. Spadaro is correct in his aforementioned opinion, Mr. Hicks’ estimates do not reflect what will be the costs to repair Plaintiffs’ residences. In fact, according to Mr. Spadaro, we will not know what those costs will actually be for some time. As such, it can hardly be said that Mr. Hicks’ reports represent the ultimate costs to repair Plaintiffs’ residences with the type of certainly required of expert witnesses. His reports are premature, incomplete, and do not accurately reflect costs of repairs, as testified to by Mr. Spadaro. They can hardly be said to represent the accurate costs of repairs to these properties with any degree of certainly.</w:t>
      </w:r>
    </w:p>
    <w:p>
      <w:pPr>
        <w:tabs>
          <w:tab w:pos="4687" w:val="left" w:leader="none"/>
        </w:tabs>
        <w:spacing w:before="6"/>
        <w:ind w:left="3967" w:right="0" w:firstLine="0"/>
        <w:jc w:val="left"/>
        <w:rPr>
          <w:b/>
          <w:sz w:val="24"/>
        </w:rPr>
      </w:pPr>
      <w:r>
        <w:rPr>
          <w:b/>
          <w:color w:val="333333"/>
          <w:sz w:val="24"/>
        </w:rPr>
        <w:t>III.</w:t>
        <w:tab/>
        <w:t>CONCLUSION</w:t>
      </w:r>
    </w:p>
    <w:p>
      <w:pPr>
        <w:pStyle w:val="BodyText"/>
        <w:spacing w:before="7"/>
        <w:rPr>
          <w:b/>
          <w:sz w:val="23"/>
        </w:rPr>
      </w:pPr>
    </w:p>
    <w:p>
      <w:pPr>
        <w:pStyle w:val="BodyText"/>
        <w:spacing w:line="480" w:lineRule="auto"/>
        <w:ind w:left="100" w:right="117" w:firstLine="719"/>
        <w:jc w:val="both"/>
      </w:pPr>
      <w:r>
        <w:rPr>
          <w:color w:val="333333"/>
        </w:rPr>
        <w:t>This Court should grant Defendant’s motion and hold that Mr. Hicks should be excluded as an expert witness.</w:t>
      </w:r>
    </w:p>
    <w:p>
      <w:pPr>
        <w:pStyle w:val="BodyText"/>
        <w:ind w:left="4421"/>
      </w:pPr>
      <w:r>
        <w:rPr/>
        <w:t>Respectfully submitted,</w:t>
      </w:r>
    </w:p>
    <w:p>
      <w:pPr>
        <w:pStyle w:val="BodyText"/>
        <w:rPr>
          <w:sz w:val="26"/>
        </w:rPr>
      </w:pPr>
    </w:p>
    <w:p>
      <w:pPr>
        <w:pStyle w:val="BodyText"/>
        <w:spacing w:before="5"/>
        <w:rPr>
          <w:sz w:val="22"/>
        </w:rPr>
      </w:pPr>
    </w:p>
    <w:p>
      <w:pPr>
        <w:pStyle w:val="Heading1"/>
        <w:ind w:left="4421"/>
      </w:pPr>
      <w:r>
        <w:rPr/>
        <w:t>PINNACLE MINING COMPANY, LLC</w:t>
      </w:r>
    </w:p>
    <w:p>
      <w:pPr>
        <w:pStyle w:val="BodyText"/>
        <w:spacing w:before="2"/>
        <w:rPr>
          <w:b/>
          <w:sz w:val="23"/>
        </w:rPr>
      </w:pPr>
    </w:p>
    <w:p>
      <w:pPr>
        <w:pStyle w:val="BodyText"/>
        <w:ind w:left="511" w:right="148"/>
        <w:jc w:val="center"/>
      </w:pPr>
      <w:r>
        <w:rPr/>
        <w:t>By Counsel</w:t>
      </w:r>
    </w:p>
    <w:p>
      <w:pPr>
        <w:pStyle w:val="BodyText"/>
        <w:rPr>
          <w:sz w:val="26"/>
        </w:rPr>
      </w:pPr>
    </w:p>
    <w:p>
      <w:pPr>
        <w:pStyle w:val="BodyText"/>
        <w:rPr>
          <w:sz w:val="26"/>
        </w:rPr>
      </w:pPr>
    </w:p>
    <w:p>
      <w:pPr>
        <w:pStyle w:val="BodyText"/>
        <w:rPr>
          <w:sz w:val="26"/>
        </w:rPr>
      </w:pPr>
    </w:p>
    <w:p>
      <w:pPr>
        <w:pStyle w:val="BodyText"/>
        <w:spacing w:before="8"/>
        <w:rPr>
          <w:sz w:val="23"/>
        </w:rPr>
      </w:pPr>
    </w:p>
    <w:p>
      <w:pPr>
        <w:tabs>
          <w:tab w:pos="7301" w:val="left" w:leader="none"/>
        </w:tabs>
        <w:spacing w:before="0"/>
        <w:ind w:left="4521" w:right="0" w:firstLine="0"/>
        <w:jc w:val="left"/>
        <w:rPr>
          <w:i/>
          <w:sz w:val="24"/>
        </w:rPr>
      </w:pPr>
      <w:r>
        <w:rPr>
          <w:i/>
          <w:sz w:val="24"/>
          <w:u w:val="single"/>
        </w:rPr>
        <w:t>/s/ John J.</w:t>
      </w:r>
      <w:r>
        <w:rPr>
          <w:i/>
          <w:spacing w:val="-4"/>
          <w:sz w:val="24"/>
          <w:u w:val="single"/>
        </w:rPr>
        <w:t> </w:t>
      </w:r>
      <w:r>
        <w:rPr>
          <w:i/>
          <w:sz w:val="24"/>
          <w:u w:val="single"/>
        </w:rPr>
        <w:t>Meadows</w:t>
        <w:tab/>
      </w:r>
    </w:p>
    <w:p>
      <w:pPr>
        <w:pStyle w:val="BodyText"/>
        <w:spacing w:line="235" w:lineRule="auto" w:before="5"/>
        <w:ind w:left="4521" w:right="125"/>
      </w:pPr>
      <w:r>
        <w:rPr/>
        <w:t>John J. Meadows (WV State Bar ID No. 9442) Peter J. Raupp (WV State Bar ID No.</w:t>
      </w:r>
    </w:p>
    <w:p>
      <w:pPr>
        <w:pStyle w:val="BodyText"/>
        <w:spacing w:before="1"/>
        <w:ind w:left="4521"/>
      </w:pPr>
      <w:r>
        <w:rPr/>
        <w:t>10564) 707 Virginia Street,</w:t>
      </w:r>
      <w:r>
        <w:rPr>
          <w:spacing w:val="-9"/>
        </w:rPr>
        <w:t> </w:t>
      </w:r>
      <w:r>
        <w:rPr/>
        <w:t>East</w:t>
      </w:r>
    </w:p>
    <w:p>
      <w:pPr>
        <w:tabs>
          <w:tab w:pos="4521" w:val="left" w:leader="none"/>
        </w:tabs>
        <w:spacing w:before="0"/>
        <w:ind w:left="201" w:right="0" w:firstLine="0"/>
        <w:jc w:val="left"/>
        <w:rPr>
          <w:sz w:val="24"/>
        </w:rPr>
      </w:pPr>
      <w:r>
        <w:rPr>
          <w:b/>
          <w:sz w:val="24"/>
        </w:rPr>
        <w:t>STEPTOE &amp;</w:t>
      </w:r>
      <w:r>
        <w:rPr>
          <w:b/>
          <w:spacing w:val="-7"/>
          <w:sz w:val="24"/>
        </w:rPr>
        <w:t> </w:t>
      </w:r>
      <w:r>
        <w:rPr>
          <w:b/>
          <w:sz w:val="24"/>
        </w:rPr>
        <w:t>JOHNSON</w:t>
      </w:r>
      <w:r>
        <w:rPr>
          <w:b/>
          <w:spacing w:val="-1"/>
          <w:sz w:val="24"/>
        </w:rPr>
        <w:t> </w:t>
      </w:r>
      <w:r>
        <w:rPr>
          <w:b/>
          <w:sz w:val="24"/>
        </w:rPr>
        <w:t>PLLC</w:t>
        <w:tab/>
      </w:r>
      <w:r>
        <w:rPr>
          <w:sz w:val="24"/>
        </w:rPr>
        <w:t>Chase Tower, Seventeenth</w:t>
      </w:r>
      <w:r>
        <w:rPr>
          <w:spacing w:val="-15"/>
          <w:sz w:val="24"/>
        </w:rPr>
        <w:t> </w:t>
      </w:r>
      <w:r>
        <w:rPr>
          <w:sz w:val="24"/>
        </w:rPr>
        <w:t>Floor</w:t>
      </w:r>
    </w:p>
    <w:p>
      <w:pPr>
        <w:pStyle w:val="BodyText"/>
        <w:tabs>
          <w:tab w:pos="4521" w:val="left" w:leader="none"/>
        </w:tabs>
        <w:ind w:left="4521" w:right="2220" w:hanging="3481"/>
      </w:pPr>
      <w:r>
        <w:rPr>
          <w:b/>
        </w:rPr>
        <w:t>Of Counsel</w:t>
        <w:tab/>
      </w:r>
      <w:r>
        <w:rPr/>
        <w:t>Post Office Box 1588 Charleston, WV</w:t>
      </w:r>
      <w:r>
        <w:rPr>
          <w:spacing w:val="8"/>
        </w:rPr>
        <w:t> </w:t>
      </w:r>
      <w:r>
        <w:rPr>
          <w:spacing w:val="-3"/>
        </w:rPr>
        <w:t>25326-1588</w:t>
      </w:r>
    </w:p>
    <w:p>
      <w:pPr>
        <w:pStyle w:val="BodyText"/>
        <w:ind w:left="4521"/>
      </w:pPr>
      <w:r>
        <w:rPr/>
        <w:t>Telephone: (304) 353-8154</w:t>
      </w:r>
    </w:p>
    <w:p>
      <w:pPr>
        <w:pStyle w:val="BodyText"/>
        <w:ind w:left="4521" w:right="1396"/>
      </w:pPr>
      <w:r>
        <w:rPr/>
        <w:t>Facsimile: (304) 353-8180 </w:t>
      </w:r>
      <w:hyperlink r:id="rId8">
        <w:r>
          <w:rPr>
            <w:color w:val="0000FF"/>
            <w:u w:val="single" w:color="0000FF"/>
          </w:rPr>
          <w:t>John.Meadows@steptoe-johnson.com</w:t>
        </w:r>
      </w:hyperlink>
    </w:p>
    <w:p>
      <w:pPr>
        <w:spacing w:after="0"/>
        <w:sectPr>
          <w:headerReference w:type="default" r:id="rId7"/>
          <w:pgSz w:w="12240" w:h="15840"/>
          <w:pgMar w:header="283" w:footer="1067" w:top="1340" w:bottom="1260" w:left="1340" w:right="1320"/>
          <w:pgNumType w:start="2"/>
        </w:sectPr>
      </w:pPr>
    </w:p>
    <w:p>
      <w:pPr>
        <w:pStyle w:val="BodyText"/>
        <w:spacing w:before="89"/>
        <w:ind w:left="4521"/>
      </w:pPr>
      <w:hyperlink r:id="rId10">
        <w:r>
          <w:rPr>
            <w:color w:val="0000FF"/>
            <w:u w:val="single" w:color="0000FF"/>
          </w:rPr>
          <w:t>Peter.Raupp@steptoe-johnson.com</w:t>
        </w:r>
      </w:hyperlink>
    </w:p>
    <w:p>
      <w:pPr>
        <w:spacing w:after="0"/>
        <w:sectPr>
          <w:headerReference w:type="default" r:id="rId9"/>
          <w:pgSz w:w="12240" w:h="15840"/>
          <w:pgMar w:header="283" w:footer="1067" w:top="1340" w:bottom="1260" w:left="1340" w:right="1320"/>
        </w:sectPr>
      </w:pPr>
    </w:p>
    <w:p>
      <w:pPr>
        <w:pStyle w:val="Heading1"/>
        <w:spacing w:line="225" w:lineRule="auto" w:before="93"/>
        <w:ind w:left="1713" w:right="1798" w:firstLine="549"/>
      </w:pPr>
      <w:r>
        <w:rPr/>
        <w:t>IN THE UNITED STATES DISTRICT COURT FOR THE SOUTHERN DISTRICT OF WEST</w:t>
      </w:r>
      <w:r>
        <w:rPr>
          <w:spacing w:val="-11"/>
        </w:rPr>
        <w:t> </w:t>
      </w:r>
      <w:r>
        <w:rPr/>
        <w:t>VIRGINIA</w:t>
      </w:r>
    </w:p>
    <w:p>
      <w:pPr>
        <w:spacing w:line="262" w:lineRule="exact" w:before="0"/>
        <w:ind w:left="43" w:right="148"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tabs>
          <w:tab w:pos="4420" w:val="left" w:leader="none"/>
        </w:tabs>
        <w:spacing w:line="264" w:lineRule="exact" w:before="0"/>
        <w:ind w:left="100" w:right="0" w:firstLine="0"/>
        <w:jc w:val="left"/>
        <w:rPr>
          <w:b/>
          <w:sz w:val="24"/>
        </w:rPr>
      </w:pPr>
      <w:r>
        <w:rPr>
          <w:b/>
          <w:sz w:val="24"/>
        </w:rPr>
        <w:t>v.</w:t>
        <w:tab/>
        <w:t>CIVIL ACTION NO.</w:t>
      </w:r>
      <w:r>
        <w:rPr>
          <w:b/>
          <w:spacing w:val="-1"/>
          <w:sz w:val="24"/>
        </w:rPr>
        <w:t> </w:t>
      </w:r>
      <w:r>
        <w:rPr>
          <w:b/>
          <w:sz w:val="24"/>
        </w:rPr>
        <w:t>5:15-CV-15444</w:t>
      </w:r>
    </w:p>
    <w:p>
      <w:pPr>
        <w:spacing w:line="270" w:lineRule="exact" w:before="0"/>
        <w:ind w:left="849" w:right="148"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113" w:right="148" w:firstLine="0"/>
        <w:jc w:val="center"/>
        <w:rPr>
          <w:b/>
          <w:sz w:val="24"/>
        </w:rPr>
      </w:pPr>
      <w:r>
        <w:rPr>
          <w:b/>
          <w:sz w:val="24"/>
          <w:u w:val="thick"/>
        </w:rPr>
        <w:t>CERTIFICATE OF SERVICE</w:t>
      </w:r>
    </w:p>
    <w:p>
      <w:pPr>
        <w:pStyle w:val="BodyText"/>
        <w:spacing w:before="199"/>
        <w:ind w:left="1703"/>
      </w:pPr>
      <w:r>
        <w:rPr/>
        <w:t>I hereby affirm that on this date, April 17, 2017, I caused the foregoing</w:t>
      </w:r>
    </w:p>
    <w:p>
      <w:pPr>
        <w:pStyle w:val="Heading1"/>
        <w:spacing w:line="274" w:lineRule="exact" w:before="5"/>
        <w:ind w:left="0" w:right="15"/>
        <w:jc w:val="center"/>
      </w:pPr>
      <w:r>
        <w:rPr>
          <w:i/>
        </w:rPr>
        <w:t>“</w:t>
      </w:r>
      <w:r>
        <w:rPr/>
        <w:t>DEFENDANT’S MOTION IN LIMINE TO EXCLUDE TESTIMONY FROM</w:t>
      </w:r>
    </w:p>
    <w:p>
      <w:pPr>
        <w:pStyle w:val="BodyText"/>
        <w:ind w:right="21"/>
        <w:jc w:val="center"/>
      </w:pPr>
      <w:r>
        <w:rPr>
          <w:b/>
        </w:rPr>
        <w:t>RICHARD HICKS</w:t>
      </w:r>
      <w:r>
        <w:rPr>
          <w:b/>
          <w:i/>
        </w:rPr>
        <w:t>” </w:t>
      </w:r>
      <w:r>
        <w:rPr/>
        <w:t>to be filed via the CM/ECF electronic filing system and, by virtue of the same, electronic notification will be served as follows:</w:t>
      </w:r>
    </w:p>
    <w:p>
      <w:pPr>
        <w:pStyle w:val="BodyText"/>
        <w:spacing w:before="9"/>
        <w:rPr>
          <w:sz w:val="23"/>
        </w:rPr>
      </w:pPr>
    </w:p>
    <w:p>
      <w:pPr>
        <w:pStyle w:val="BodyText"/>
        <w:ind w:left="3429" w:right="3578"/>
        <w:jc w:val="center"/>
      </w:pPr>
      <w:r>
        <w:rPr/>
        <w:t>Roger A. Decanio, </w:t>
      </w:r>
      <w:r>
        <w:rPr>
          <w:spacing w:val="-3"/>
        </w:rPr>
        <w:t>Esquire </w:t>
      </w:r>
      <w:r>
        <w:rPr/>
        <w:t>The Masters Law Firm 181 Summers</w:t>
      </w:r>
      <w:r>
        <w:rPr>
          <w:spacing w:val="-2"/>
        </w:rPr>
        <w:t> </w:t>
      </w:r>
      <w:r>
        <w:rPr/>
        <w:t>Street</w:t>
      </w:r>
    </w:p>
    <w:p>
      <w:pPr>
        <w:pStyle w:val="BodyText"/>
        <w:ind w:left="3" w:right="148"/>
        <w:jc w:val="center"/>
      </w:pPr>
      <w:r>
        <w:rPr/>
        <w:t>Charleston, WV 25301</w:t>
      </w:r>
    </w:p>
    <w:p>
      <w:pPr>
        <w:pStyle w:val="BodyText"/>
        <w:ind w:right="148"/>
        <w:jc w:val="center"/>
      </w:pPr>
      <w:hyperlink r:id="rId12">
        <w:r>
          <w:rPr>
            <w:color w:val="0000FF"/>
            <w:u w:val="single" w:color="0000FF"/>
          </w:rPr>
          <w:t> rad@themasterslawfirm.com</w:t>
        </w:r>
      </w:hyperlink>
    </w:p>
    <w:p>
      <w:pPr>
        <w:spacing w:before="0"/>
        <w:ind w:left="6" w:right="148" w:firstLine="0"/>
        <w:jc w:val="center"/>
        <w:rPr>
          <w:i/>
          <w:sz w:val="24"/>
        </w:rPr>
      </w:pPr>
      <w:r>
        <w:rPr>
          <w:i/>
          <w:sz w:val="24"/>
        </w:rPr>
        <w:t>Counsel for Plaintiffs</w:t>
      </w:r>
    </w:p>
    <w:p>
      <w:pPr>
        <w:pStyle w:val="BodyText"/>
        <w:rPr>
          <w:i/>
          <w:sz w:val="26"/>
        </w:rPr>
      </w:pPr>
    </w:p>
    <w:p>
      <w:pPr>
        <w:pStyle w:val="BodyText"/>
        <w:rPr>
          <w:i/>
          <w:sz w:val="26"/>
        </w:rPr>
      </w:pPr>
    </w:p>
    <w:p>
      <w:pPr>
        <w:tabs>
          <w:tab w:pos="5140" w:val="left" w:leader="none"/>
          <w:tab w:pos="8741" w:val="left" w:leader="none"/>
        </w:tabs>
        <w:spacing w:before="230"/>
        <w:ind w:left="4521" w:right="0" w:firstLine="0"/>
        <w:jc w:val="left"/>
        <w:rPr>
          <w:i/>
          <w:sz w:val="24"/>
        </w:rPr>
      </w:pPr>
      <w:r>
        <w:rPr>
          <w:i/>
          <w:sz w:val="24"/>
          <w:u w:val="single"/>
        </w:rPr>
        <w:t> </w:t>
        <w:tab/>
        <w:t>/s/ John J.</w:t>
      </w:r>
      <w:r>
        <w:rPr>
          <w:i/>
          <w:spacing w:val="-4"/>
          <w:sz w:val="24"/>
          <w:u w:val="single"/>
        </w:rPr>
        <w:t> </w:t>
      </w:r>
      <w:r>
        <w:rPr>
          <w:i/>
          <w:sz w:val="24"/>
          <w:u w:val="single"/>
        </w:rPr>
        <w:t>Meadows</w:t>
        <w:tab/>
      </w:r>
    </w:p>
    <w:sectPr>
      <w:headerReference w:type="default" r:id="rId11"/>
      <w:pgSz w:w="12240" w:h="15840"/>
      <w:pgMar w:header="283" w:footer="1067" w:top="1340" w:bottom="12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27.626648pt;width:10pt;height:15.3pt;mso-position-horizontal-relative:page;mso-position-vertical-relative:page;z-index:-4360"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4384" type="#_x0000_t202" filled="false" stroked="false">
          <v:textbox inset="0,0,0,0">
            <w:txbxContent>
              <w:p>
                <w:pPr>
                  <w:pStyle w:val="BodyText"/>
                  <w:spacing w:before="12"/>
                  <w:ind w:left="20"/>
                  <w:rPr>
                    <w:rFonts w:ascii="Arial"/>
                  </w:rPr>
                </w:pPr>
                <w:r>
                  <w:rPr>
                    <w:rFonts w:ascii="Arial"/>
                    <w:color w:val="0000FF"/>
                  </w:rPr>
                  <w:t>Case 5:15-cv-15444 Document 222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4 PageID #: 1635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336" type="#_x0000_t202" filled="false" stroked="false">
          <v:textbox inset="0,0,0,0">
            <w:txbxContent>
              <w:p>
                <w:pPr>
                  <w:pStyle w:val="BodyText"/>
                  <w:spacing w:before="12"/>
                  <w:ind w:left="20"/>
                  <w:rPr>
                    <w:rFonts w:ascii="Arial"/>
                  </w:rPr>
                </w:pPr>
                <w:r>
                  <w:rPr>
                    <w:rFonts w:ascii="Arial"/>
                    <w:color w:val="0000FF"/>
                  </w:rPr>
                  <w:t>Case 5:15-cv-15444 Document 222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4 PageID #: 1636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312" type="#_x0000_t202" filled="false" stroked="false">
          <v:textbox inset="0,0,0,0">
            <w:txbxContent>
              <w:p>
                <w:pPr>
                  <w:pStyle w:val="BodyText"/>
                  <w:spacing w:before="12"/>
                  <w:ind w:left="20"/>
                  <w:rPr>
                    <w:rFonts w:ascii="Arial"/>
                  </w:rPr>
                </w:pPr>
                <w:r>
                  <w:rPr>
                    <w:rFonts w:ascii="Arial"/>
                    <w:color w:val="0000FF"/>
                  </w:rPr>
                  <w:t>Case 5:15-cv-15444 Document 222 Filed 04/17/17 Page 3 of 4 PageID #: 1637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288" type="#_x0000_t202" filled="false" stroked="false">
          <v:textbox inset="0,0,0,0">
            <w:txbxContent>
              <w:p>
                <w:pPr>
                  <w:pStyle w:val="BodyText"/>
                  <w:spacing w:before="12"/>
                  <w:ind w:left="20"/>
                  <w:rPr>
                    <w:rFonts w:ascii="Arial"/>
                  </w:rPr>
                </w:pPr>
                <w:r>
                  <w:rPr>
                    <w:rFonts w:ascii="Arial"/>
                    <w:color w:val="0000FF"/>
                  </w:rPr>
                  <w:t>Case 5:15-cv-15444 Document 222 Filed 04/17/17 Page 4 of 4 PageID #: 1638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lowerRoman"/>
      <w:lvlText w:val="%1."/>
      <w:lvlJc w:val="left"/>
      <w:pPr>
        <w:ind w:left="4421" w:hanging="4321"/>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Roman"/>
      <w:lvlText w:val="%2."/>
      <w:lvlJc w:val="left"/>
      <w:pPr>
        <w:ind w:left="3957" w:hanging="720"/>
        <w:jc w:val="left"/>
      </w:pPr>
      <w:rPr>
        <w:rFonts w:hint="default" w:ascii="Times New Roman" w:hAnsi="Times New Roman" w:eastAsia="Times New Roman" w:cs="Times New Roman"/>
        <w:b/>
        <w:bCs/>
        <w:w w:val="99"/>
        <w:sz w:val="24"/>
        <w:szCs w:val="24"/>
        <w:lang w:val="en-us" w:eastAsia="en-us" w:bidi="en-us"/>
      </w:rPr>
    </w:lvl>
    <w:lvl w:ilvl="2">
      <w:start w:val="0"/>
      <w:numFmt w:val="bullet"/>
      <w:lvlText w:val="•"/>
      <w:lvlJc w:val="left"/>
      <w:pPr>
        <w:ind w:left="4680" w:hanging="720"/>
      </w:pPr>
      <w:rPr>
        <w:rFonts w:hint="default"/>
        <w:lang w:val="en-us" w:eastAsia="en-us" w:bidi="en-us"/>
      </w:rPr>
    </w:lvl>
    <w:lvl w:ilvl="3">
      <w:start w:val="0"/>
      <w:numFmt w:val="bullet"/>
      <w:lvlText w:val="•"/>
      <w:lvlJc w:val="left"/>
      <w:pPr>
        <w:ind w:left="5292" w:hanging="720"/>
      </w:pPr>
      <w:rPr>
        <w:rFonts w:hint="default"/>
        <w:lang w:val="en-us" w:eastAsia="en-us" w:bidi="en-us"/>
      </w:rPr>
    </w:lvl>
    <w:lvl w:ilvl="4">
      <w:start w:val="0"/>
      <w:numFmt w:val="bullet"/>
      <w:lvlText w:val="•"/>
      <w:lvlJc w:val="left"/>
      <w:pPr>
        <w:ind w:left="5905" w:hanging="720"/>
      </w:pPr>
      <w:rPr>
        <w:rFonts w:hint="default"/>
        <w:lang w:val="en-us" w:eastAsia="en-us" w:bidi="en-us"/>
      </w:rPr>
    </w:lvl>
    <w:lvl w:ilvl="5">
      <w:start w:val="0"/>
      <w:numFmt w:val="bullet"/>
      <w:lvlText w:val="•"/>
      <w:lvlJc w:val="left"/>
      <w:pPr>
        <w:ind w:left="6517" w:hanging="720"/>
      </w:pPr>
      <w:rPr>
        <w:rFonts w:hint="default"/>
        <w:lang w:val="en-us" w:eastAsia="en-us" w:bidi="en-us"/>
      </w:rPr>
    </w:lvl>
    <w:lvl w:ilvl="6">
      <w:start w:val="0"/>
      <w:numFmt w:val="bullet"/>
      <w:lvlText w:val="•"/>
      <w:lvlJc w:val="left"/>
      <w:pPr>
        <w:ind w:left="7130" w:hanging="720"/>
      </w:pPr>
      <w:rPr>
        <w:rFonts w:hint="default"/>
        <w:lang w:val="en-us" w:eastAsia="en-us" w:bidi="en-us"/>
      </w:rPr>
    </w:lvl>
    <w:lvl w:ilvl="7">
      <w:start w:val="0"/>
      <w:numFmt w:val="bullet"/>
      <w:lvlText w:val="•"/>
      <w:lvlJc w:val="left"/>
      <w:pPr>
        <w:ind w:left="7742" w:hanging="720"/>
      </w:pPr>
      <w:rPr>
        <w:rFonts w:hint="default"/>
        <w:lang w:val="en-us" w:eastAsia="en-us" w:bidi="en-us"/>
      </w:rPr>
    </w:lvl>
    <w:lvl w:ilvl="8">
      <w:start w:val="0"/>
      <w:numFmt w:val="bullet"/>
      <w:lvlText w:val="•"/>
      <w:lvlJc w:val="left"/>
      <w:pPr>
        <w:ind w:left="8355"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7"/>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3957" w:hanging="432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yperlink" Target="mailto:%20John.Meadows@steptoe-johnson.com" TargetMode="External"/><Relationship Id="rId9" Type="http://schemas.openxmlformats.org/officeDocument/2006/relationships/header" Target="header3.xml"/><Relationship Id="rId10" Type="http://schemas.openxmlformats.org/officeDocument/2006/relationships/hyperlink" Target="mailto:Peter.Raupp@steptoe-johnson.com" TargetMode="External"/><Relationship Id="rId11" Type="http://schemas.openxmlformats.org/officeDocument/2006/relationships/header" Target="header4.xml"/><Relationship Id="rId12" Type="http://schemas.openxmlformats.org/officeDocument/2006/relationships/hyperlink" Target="mailto:%20rad@themasterslawfirm.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2019-05-10T17:40:19Z</dcterms:created>
  <dcterms:modified xsi:type="dcterms:W3CDTF">2019-05-10T17:40:19Z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Aspose Ltd.</vt:lpwstr>
  </property>
  <property fmtid="{D5CDD505-2E9C-101B-9397-08002B2CF9AE}" pid="4" name="LastSaved">
    <vt:filetime>2019-05-10T00:00:00Z</vt:filetime>
  </property>
</Properties>
</file>